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C62DD" w14:textId="77777777" w:rsidR="008E1E0A" w:rsidRDefault="008E1E0A" w:rsidP="000A55DC">
      <w:pPr>
        <w:spacing w:after="0" w:line="240" w:lineRule="auto"/>
        <w:rPr>
          <w:rFonts w:ascii="Arial" w:hAnsi="Arial" w:cs="Arial"/>
          <w:b/>
          <w:bCs/>
        </w:rPr>
      </w:pPr>
      <w:r>
        <w:rPr>
          <w:rFonts w:ascii="Arial" w:hAnsi="Arial" w:cs="Arial"/>
        </w:rPr>
        <w:t>Doctora</w:t>
      </w:r>
      <w:r w:rsidR="00F4590D" w:rsidRPr="00F4590D">
        <w:rPr>
          <w:rFonts w:ascii="Arial" w:hAnsi="Arial" w:cs="Arial"/>
        </w:rPr>
        <w:br/>
      </w:r>
      <w:r>
        <w:rPr>
          <w:rFonts w:ascii="Arial" w:hAnsi="Arial" w:cs="Arial"/>
          <w:b/>
          <w:bCs/>
        </w:rPr>
        <w:t>LEIDY JOHANA CRUZ PALENCIA</w:t>
      </w:r>
    </w:p>
    <w:p w14:paraId="30F7E84E" w14:textId="49101E20" w:rsidR="00F4590D" w:rsidRDefault="008E1E0A" w:rsidP="000A55DC">
      <w:pPr>
        <w:spacing w:after="0" w:line="240" w:lineRule="auto"/>
        <w:rPr>
          <w:rFonts w:ascii="Arial" w:hAnsi="Arial" w:cs="Arial"/>
        </w:rPr>
      </w:pPr>
      <w:r w:rsidRPr="008E1E0A">
        <w:rPr>
          <w:rFonts w:ascii="Arial" w:hAnsi="Arial" w:cs="Arial"/>
        </w:rPr>
        <w:t>Gerente</w:t>
      </w:r>
      <w:r w:rsidR="00F4590D" w:rsidRPr="008E1E0A">
        <w:rPr>
          <w:rFonts w:ascii="Arial" w:hAnsi="Arial" w:cs="Arial"/>
        </w:rPr>
        <w:br/>
      </w:r>
      <w:r w:rsidR="00F4590D" w:rsidRPr="00F4590D">
        <w:rPr>
          <w:rFonts w:ascii="Arial" w:hAnsi="Arial" w:cs="Arial"/>
          <w:b/>
          <w:bCs/>
        </w:rPr>
        <w:t xml:space="preserve">REGIÓN ADMINISTRATIVA Y DE PLANIFICACIÓN </w:t>
      </w:r>
      <w:r>
        <w:rPr>
          <w:rFonts w:ascii="Arial" w:hAnsi="Arial" w:cs="Arial"/>
          <w:b/>
          <w:bCs/>
        </w:rPr>
        <w:t xml:space="preserve">DE LA </w:t>
      </w:r>
      <w:r w:rsidR="00F4590D" w:rsidRPr="00F4590D">
        <w:rPr>
          <w:rFonts w:ascii="Arial" w:hAnsi="Arial" w:cs="Arial"/>
          <w:b/>
          <w:bCs/>
        </w:rPr>
        <w:t>AMAZONÍA</w:t>
      </w:r>
      <w:r w:rsidR="00F4590D" w:rsidRPr="00F4590D">
        <w:rPr>
          <w:rFonts w:ascii="Arial" w:hAnsi="Arial" w:cs="Arial"/>
        </w:rPr>
        <w:br/>
        <w:t>Ciudad.</w:t>
      </w:r>
    </w:p>
    <w:p w14:paraId="79294982" w14:textId="77777777" w:rsidR="000A55DC" w:rsidRPr="00F4590D" w:rsidRDefault="000A55DC" w:rsidP="000A55DC">
      <w:pPr>
        <w:spacing w:after="0" w:line="240" w:lineRule="auto"/>
        <w:rPr>
          <w:rFonts w:ascii="Arial" w:hAnsi="Arial" w:cs="Arial"/>
        </w:rPr>
      </w:pPr>
    </w:p>
    <w:p w14:paraId="3197CC7B" w14:textId="73321D92" w:rsidR="00F4590D" w:rsidRDefault="00F4590D" w:rsidP="000A55DC">
      <w:pPr>
        <w:spacing w:after="0" w:line="240" w:lineRule="auto"/>
        <w:jc w:val="both"/>
        <w:rPr>
          <w:rFonts w:ascii="Arial" w:hAnsi="Arial" w:cs="Arial"/>
        </w:rPr>
      </w:pPr>
      <w:r w:rsidRPr="00F4590D">
        <w:rPr>
          <w:rFonts w:ascii="Arial" w:hAnsi="Arial" w:cs="Arial"/>
          <w:b/>
          <w:bCs/>
        </w:rPr>
        <w:t>Referencia:</w:t>
      </w:r>
      <w:r w:rsidRPr="00F4590D">
        <w:rPr>
          <w:rFonts w:ascii="Arial" w:hAnsi="Arial" w:cs="Arial"/>
        </w:rPr>
        <w:t xml:space="preserve"> Recurso de reposición contra la Resolución No. 198 del 10 de septiembre de 2025, “Por medio de la cual se decide sobre la continuidad del proyecto BPIN 2021000060016 – </w:t>
      </w:r>
      <w:r w:rsidRPr="00F4590D">
        <w:rPr>
          <w:rFonts w:ascii="Arial" w:hAnsi="Arial" w:cs="Arial"/>
          <w:i/>
          <w:iCs/>
        </w:rPr>
        <w:t>Fortalecimiento de la Integración Socioeconómica del Departamento del Amazonas mediante la construcción de la Avenida Vásquez Cobo en el municipio de Leticia</w:t>
      </w:r>
      <w:r w:rsidRPr="00F4590D">
        <w:rPr>
          <w:rFonts w:ascii="Arial" w:hAnsi="Arial" w:cs="Arial"/>
        </w:rPr>
        <w:t>.”</w:t>
      </w:r>
    </w:p>
    <w:p w14:paraId="5B810D73" w14:textId="77777777" w:rsidR="000A55DC" w:rsidRPr="00F4590D" w:rsidRDefault="000A55DC" w:rsidP="000A55DC">
      <w:pPr>
        <w:spacing w:after="0" w:line="240" w:lineRule="auto"/>
        <w:jc w:val="both"/>
        <w:rPr>
          <w:rFonts w:ascii="Arial" w:hAnsi="Arial" w:cs="Arial"/>
        </w:rPr>
      </w:pPr>
    </w:p>
    <w:p w14:paraId="4FDF5B84" w14:textId="77A4E971" w:rsidR="00F4590D" w:rsidRPr="000A55DC" w:rsidRDefault="00F4590D" w:rsidP="000A55DC">
      <w:pPr>
        <w:pStyle w:val="Prrafodelista"/>
        <w:numPr>
          <w:ilvl w:val="0"/>
          <w:numId w:val="10"/>
        </w:numPr>
        <w:spacing w:after="0" w:line="240" w:lineRule="auto"/>
        <w:jc w:val="both"/>
        <w:rPr>
          <w:rFonts w:ascii="Arial" w:hAnsi="Arial" w:cs="Arial"/>
          <w:b/>
          <w:bCs/>
        </w:rPr>
      </w:pPr>
      <w:r w:rsidRPr="000A55DC">
        <w:rPr>
          <w:rFonts w:ascii="Arial" w:hAnsi="Arial" w:cs="Arial"/>
          <w:b/>
          <w:bCs/>
        </w:rPr>
        <w:t>IDENTIFICACIÓN DEL RECURRENTE</w:t>
      </w:r>
    </w:p>
    <w:p w14:paraId="3DDA380C" w14:textId="77777777" w:rsidR="000A55DC" w:rsidRPr="000A55DC" w:rsidRDefault="000A55DC" w:rsidP="000A55DC">
      <w:pPr>
        <w:pStyle w:val="Prrafodelista"/>
        <w:spacing w:after="0" w:line="240" w:lineRule="auto"/>
        <w:ind w:left="1080"/>
        <w:jc w:val="both"/>
        <w:rPr>
          <w:rFonts w:ascii="Arial" w:hAnsi="Arial" w:cs="Arial"/>
          <w:b/>
          <w:bCs/>
        </w:rPr>
      </w:pPr>
    </w:p>
    <w:p w14:paraId="46C6AF12" w14:textId="4FD7E99A" w:rsidR="00F4590D" w:rsidRDefault="00F4590D" w:rsidP="000A55DC">
      <w:pPr>
        <w:spacing w:after="0" w:line="240" w:lineRule="auto"/>
        <w:jc w:val="both"/>
        <w:rPr>
          <w:rFonts w:ascii="Arial" w:hAnsi="Arial" w:cs="Arial"/>
        </w:rPr>
      </w:pPr>
      <w:r w:rsidRPr="00F4590D">
        <w:rPr>
          <w:rFonts w:ascii="Arial" w:hAnsi="Arial" w:cs="Arial"/>
        </w:rPr>
        <w:t xml:space="preserve">Municipio de Leticia, entidad territorial de derecho público, representada legalmente por el señor </w:t>
      </w:r>
      <w:r w:rsidRPr="00256D40">
        <w:rPr>
          <w:rFonts w:ascii="Arial" w:hAnsi="Arial" w:cs="Arial"/>
        </w:rPr>
        <w:t>ELQUIN JADRIAN UNI HEREDIA</w:t>
      </w:r>
      <w:r w:rsidRPr="00F4590D">
        <w:rPr>
          <w:rFonts w:ascii="Arial" w:hAnsi="Arial" w:cs="Arial"/>
        </w:rPr>
        <w:t xml:space="preserve">, </w:t>
      </w:r>
      <w:proofErr w:type="gramStart"/>
      <w:r w:rsidRPr="00F4590D">
        <w:rPr>
          <w:rFonts w:ascii="Arial" w:hAnsi="Arial" w:cs="Arial"/>
        </w:rPr>
        <w:t>Alcalde</w:t>
      </w:r>
      <w:proofErr w:type="gramEnd"/>
      <w:r w:rsidRPr="00F4590D">
        <w:rPr>
          <w:rFonts w:ascii="Arial" w:hAnsi="Arial" w:cs="Arial"/>
        </w:rPr>
        <w:t xml:space="preserve"> Municipal</w:t>
      </w:r>
      <w:proofErr w:type="gramStart"/>
      <w:r w:rsidRPr="00F4590D">
        <w:rPr>
          <w:rFonts w:ascii="Arial" w:hAnsi="Arial" w:cs="Arial"/>
        </w:rPr>
        <w:t>, ,</w:t>
      </w:r>
      <w:proofErr w:type="gramEnd"/>
      <w:r w:rsidRPr="00F4590D">
        <w:rPr>
          <w:rFonts w:ascii="Arial" w:hAnsi="Arial" w:cs="Arial"/>
        </w:rPr>
        <w:t xml:space="preserve"> quien obra en ejercicio de las facultades constitucionales y legales que le confiere el artículo 315 de la Constitución Política y el artículo 91 de la Ley 136 de 1994, por intermedio de apoderado judicial debidamente constituido, comparece a interponer </w:t>
      </w:r>
      <w:r w:rsidRPr="00F4590D">
        <w:rPr>
          <w:rFonts w:ascii="Arial" w:hAnsi="Arial" w:cs="Arial"/>
          <w:b/>
          <w:bCs/>
        </w:rPr>
        <w:t xml:space="preserve">recurso de reposición </w:t>
      </w:r>
      <w:r w:rsidRPr="00F4590D">
        <w:rPr>
          <w:rFonts w:ascii="Arial" w:hAnsi="Arial" w:cs="Arial"/>
        </w:rPr>
        <w:t>contra la Resolución en referencia</w:t>
      </w:r>
      <w:r w:rsidRPr="00256D40">
        <w:rPr>
          <w:rFonts w:ascii="Arial" w:hAnsi="Arial" w:cs="Arial"/>
        </w:rPr>
        <w:t>.</w:t>
      </w:r>
    </w:p>
    <w:p w14:paraId="0B4AB0E1" w14:textId="77777777" w:rsidR="000A55DC" w:rsidRPr="00F4590D" w:rsidRDefault="000A55DC" w:rsidP="000A55DC">
      <w:pPr>
        <w:spacing w:after="0" w:line="240" w:lineRule="auto"/>
        <w:jc w:val="both"/>
        <w:rPr>
          <w:rFonts w:ascii="Arial" w:hAnsi="Arial" w:cs="Arial"/>
        </w:rPr>
      </w:pPr>
    </w:p>
    <w:p w14:paraId="0E7CB7C7" w14:textId="1D92FB97" w:rsidR="00F4590D" w:rsidRPr="000A55DC" w:rsidRDefault="00F4590D" w:rsidP="000A55DC">
      <w:pPr>
        <w:pStyle w:val="Prrafodelista"/>
        <w:numPr>
          <w:ilvl w:val="0"/>
          <w:numId w:val="10"/>
        </w:numPr>
        <w:spacing w:after="0" w:line="240" w:lineRule="auto"/>
        <w:jc w:val="both"/>
        <w:rPr>
          <w:rFonts w:ascii="Arial" w:hAnsi="Arial" w:cs="Arial"/>
          <w:b/>
          <w:bCs/>
        </w:rPr>
      </w:pPr>
      <w:r w:rsidRPr="000A55DC">
        <w:rPr>
          <w:rFonts w:ascii="Arial" w:hAnsi="Arial" w:cs="Arial"/>
          <w:b/>
          <w:bCs/>
        </w:rPr>
        <w:t>LEGITIMACIÓN E INTERÉS JURÍDICO DEL MUNICIPIO DE LETICIA</w:t>
      </w:r>
    </w:p>
    <w:p w14:paraId="303FE077" w14:textId="77777777" w:rsidR="000A55DC" w:rsidRPr="000A55DC" w:rsidRDefault="000A55DC" w:rsidP="000A55DC">
      <w:pPr>
        <w:pStyle w:val="Prrafodelista"/>
        <w:spacing w:after="0" w:line="240" w:lineRule="auto"/>
        <w:ind w:left="1080"/>
        <w:jc w:val="both"/>
        <w:rPr>
          <w:rFonts w:ascii="Arial" w:hAnsi="Arial" w:cs="Arial"/>
          <w:b/>
          <w:bCs/>
        </w:rPr>
      </w:pPr>
    </w:p>
    <w:p w14:paraId="2690E270" w14:textId="77777777" w:rsidR="00256D40" w:rsidRDefault="00256D40" w:rsidP="000A55DC">
      <w:pPr>
        <w:spacing w:after="0" w:line="240" w:lineRule="auto"/>
        <w:jc w:val="both"/>
        <w:rPr>
          <w:rFonts w:ascii="Arial" w:hAnsi="Arial" w:cs="Arial"/>
          <w:i/>
          <w:iCs/>
        </w:rPr>
      </w:pPr>
      <w:r w:rsidRPr="00256D40">
        <w:rPr>
          <w:rFonts w:ascii="Arial" w:hAnsi="Arial" w:cs="Arial"/>
        </w:rPr>
        <w:t xml:space="preserve">El Municipio de Leticia se encuentra plenamente legitimado para interponer el presente recurso, por cuanto ostenta un interés directo, actual y cierto en el resultado de la decisión adoptada mediante la Resolución No. 198 de 2025, expedida por la Región Administrativa y de Planificación – RAP Amazonía, mediante la cual se definió la continuidad del proyecto identificado con código BPIN 2021000060016, denominado </w:t>
      </w:r>
      <w:r w:rsidRPr="00256D40">
        <w:rPr>
          <w:rFonts w:ascii="Arial" w:hAnsi="Arial" w:cs="Arial"/>
          <w:i/>
          <w:iCs/>
        </w:rPr>
        <w:t>“Fortalecimiento de la Integración Socioeconómica del Departamento del Amazonas mediante la construcción de la Avenida Vásquez Cobo en el municipio de Leticia.”</w:t>
      </w:r>
    </w:p>
    <w:p w14:paraId="38D95430" w14:textId="77777777" w:rsidR="000A55DC" w:rsidRPr="00256D40" w:rsidRDefault="000A55DC" w:rsidP="000A55DC">
      <w:pPr>
        <w:spacing w:after="0" w:line="240" w:lineRule="auto"/>
        <w:jc w:val="both"/>
        <w:rPr>
          <w:rFonts w:ascii="Arial" w:hAnsi="Arial" w:cs="Arial"/>
        </w:rPr>
      </w:pPr>
    </w:p>
    <w:p w14:paraId="1F4BACB8" w14:textId="77777777" w:rsidR="00256D40" w:rsidRDefault="00256D40" w:rsidP="000A55DC">
      <w:pPr>
        <w:spacing w:after="0" w:line="240" w:lineRule="auto"/>
        <w:jc w:val="both"/>
        <w:rPr>
          <w:rFonts w:ascii="Arial" w:hAnsi="Arial" w:cs="Arial"/>
        </w:rPr>
      </w:pPr>
      <w:r w:rsidRPr="00256D40">
        <w:rPr>
          <w:rFonts w:ascii="Arial" w:hAnsi="Arial" w:cs="Arial"/>
        </w:rPr>
        <w:t>Desde su origen, este proyecto fue formulado, estructurado y presentado por el Municipio de Leticia ante el OCAD Regional Centro Sur, en el marco de los lineamientos del Sistema General de Regalías (SGR). La iniciativa respondió a una necesidad prioritaria dentro del territorio municipal: mejorar la conectividad vial urbana y fortalecer la integración socioeconómica entre los sectores céntricos y periféricos de la ciudad, en especial hacia el corredor de la Avenida Vásquez Cobo, que constituye uno de los ejes estructurantes de la movilidad local.</w:t>
      </w:r>
    </w:p>
    <w:p w14:paraId="2D913DFE" w14:textId="77777777" w:rsidR="000A55DC" w:rsidRPr="00256D40" w:rsidRDefault="000A55DC" w:rsidP="000A55DC">
      <w:pPr>
        <w:spacing w:after="0" w:line="240" w:lineRule="auto"/>
        <w:jc w:val="both"/>
        <w:rPr>
          <w:rFonts w:ascii="Arial" w:hAnsi="Arial" w:cs="Arial"/>
        </w:rPr>
      </w:pPr>
    </w:p>
    <w:p w14:paraId="352DD401" w14:textId="77777777" w:rsidR="00256D40" w:rsidRDefault="00256D40" w:rsidP="000A55DC">
      <w:pPr>
        <w:spacing w:after="0" w:line="240" w:lineRule="auto"/>
        <w:jc w:val="both"/>
        <w:rPr>
          <w:rFonts w:ascii="Arial" w:hAnsi="Arial" w:cs="Arial"/>
        </w:rPr>
      </w:pPr>
      <w:r w:rsidRPr="00256D40">
        <w:rPr>
          <w:rFonts w:ascii="Arial" w:hAnsi="Arial" w:cs="Arial"/>
        </w:rPr>
        <w:t>Posteriormente, la RAP Amazonía asumió la calidad de entidad ejecutora por delegación del OCAD, sin que ello implicara la pérdida del vínculo material, técnico y jurídico que el Municipio mantiene con el proyecto. Por el contrario, durante todo el proceso, la administración municipal ha desempeñado un rol activo y determinante, participando en las fases de formulación técnica, revisión de diseños, seguimiento a la ejecución contractual y asistencia a mesas de coordinación convocadas por la RAP y los entes de control.</w:t>
      </w:r>
    </w:p>
    <w:p w14:paraId="0B44E06A" w14:textId="77777777" w:rsidR="000A55DC" w:rsidRPr="00256D40" w:rsidRDefault="000A55DC" w:rsidP="000A55DC">
      <w:pPr>
        <w:spacing w:after="0" w:line="240" w:lineRule="auto"/>
        <w:jc w:val="both"/>
        <w:rPr>
          <w:rFonts w:ascii="Arial" w:hAnsi="Arial" w:cs="Arial"/>
        </w:rPr>
      </w:pPr>
    </w:p>
    <w:p w14:paraId="3A2AF6F1" w14:textId="77777777" w:rsidR="00256D40" w:rsidRDefault="00256D40" w:rsidP="000A55DC">
      <w:pPr>
        <w:spacing w:after="0" w:line="240" w:lineRule="auto"/>
        <w:jc w:val="both"/>
        <w:rPr>
          <w:rFonts w:ascii="Arial" w:hAnsi="Arial" w:cs="Arial"/>
        </w:rPr>
      </w:pPr>
      <w:r w:rsidRPr="00256D40">
        <w:rPr>
          <w:rFonts w:ascii="Arial" w:hAnsi="Arial" w:cs="Arial"/>
        </w:rPr>
        <w:t>El Municipio de Leticia, en su condición de entidad territorial directamente beneficiaria, tiene la responsabilidad de integrar las obras dentro de su planificación urbana, territorial y presupuestal, así como de garantizar su mantenimiento y sostenibilidad a futuro. En consecuencia, las decisiones que adopte la RAP Amazonía sobre la ejecución o suspensión del proyecto inciden de manera inmediata en la gestión administrativa, fiscal y de planeación del ente territorial, afectando su capacidad de cumplir con los fines esenciales del Estado en materia de infraestructura vial, movilidad y desarrollo económico.</w:t>
      </w:r>
    </w:p>
    <w:p w14:paraId="0648E929" w14:textId="77777777" w:rsidR="000A55DC" w:rsidRPr="00256D40" w:rsidRDefault="000A55DC" w:rsidP="000A55DC">
      <w:pPr>
        <w:spacing w:after="0" w:line="240" w:lineRule="auto"/>
        <w:jc w:val="both"/>
        <w:rPr>
          <w:rFonts w:ascii="Arial" w:hAnsi="Arial" w:cs="Arial"/>
        </w:rPr>
      </w:pPr>
    </w:p>
    <w:p w14:paraId="1D504775" w14:textId="77777777" w:rsidR="00256D40" w:rsidRDefault="00256D40" w:rsidP="000A55DC">
      <w:pPr>
        <w:spacing w:after="0" w:line="240" w:lineRule="auto"/>
        <w:jc w:val="both"/>
        <w:rPr>
          <w:rFonts w:ascii="Arial" w:hAnsi="Arial" w:cs="Arial"/>
        </w:rPr>
      </w:pPr>
      <w:r w:rsidRPr="00256D40">
        <w:rPr>
          <w:rFonts w:ascii="Arial" w:hAnsi="Arial" w:cs="Arial"/>
        </w:rPr>
        <w:t>La Resolución 198 de 2025 afecta de forma directa los intereses públicos y patrimoniales del Municipio, puesto que:</w:t>
      </w:r>
    </w:p>
    <w:p w14:paraId="58166DDF" w14:textId="77777777" w:rsidR="000A55DC" w:rsidRPr="00256D40" w:rsidRDefault="000A55DC" w:rsidP="000A55DC">
      <w:pPr>
        <w:spacing w:after="0" w:line="240" w:lineRule="auto"/>
        <w:jc w:val="both"/>
        <w:rPr>
          <w:rFonts w:ascii="Arial" w:hAnsi="Arial" w:cs="Arial"/>
        </w:rPr>
      </w:pPr>
    </w:p>
    <w:p w14:paraId="2BD2070E" w14:textId="77777777" w:rsidR="00256D40" w:rsidRPr="00256D40" w:rsidRDefault="00256D40" w:rsidP="000A55DC">
      <w:pPr>
        <w:numPr>
          <w:ilvl w:val="0"/>
          <w:numId w:val="8"/>
        </w:numPr>
        <w:spacing w:after="0" w:line="240" w:lineRule="auto"/>
        <w:jc w:val="both"/>
        <w:rPr>
          <w:rFonts w:ascii="Arial" w:hAnsi="Arial" w:cs="Arial"/>
        </w:rPr>
      </w:pPr>
      <w:r w:rsidRPr="00256D40">
        <w:rPr>
          <w:rFonts w:ascii="Arial" w:hAnsi="Arial" w:cs="Arial"/>
        </w:rPr>
        <w:t>Compromete una inversión superior a dieciocho mil novecientos cuarenta y cuatro millones de pesos ($18.944.000.000) destinados a la ejecución de una obra en su territorio, recursos que, en caso de no ejecutarse, se traducen en pérdida de oportunidades de desarrollo para la comunidad local.</w:t>
      </w:r>
    </w:p>
    <w:p w14:paraId="33657CBA" w14:textId="77777777" w:rsidR="00256D40" w:rsidRPr="00256D40" w:rsidRDefault="00256D40" w:rsidP="000A55DC">
      <w:pPr>
        <w:numPr>
          <w:ilvl w:val="0"/>
          <w:numId w:val="8"/>
        </w:numPr>
        <w:spacing w:after="0" w:line="240" w:lineRule="auto"/>
        <w:jc w:val="both"/>
        <w:rPr>
          <w:rFonts w:ascii="Arial" w:hAnsi="Arial" w:cs="Arial"/>
        </w:rPr>
      </w:pPr>
      <w:r w:rsidRPr="00256D40">
        <w:rPr>
          <w:rFonts w:ascii="Arial" w:hAnsi="Arial" w:cs="Arial"/>
        </w:rPr>
        <w:t>Incide negativamente en la continuidad de las políticas municipales de movilidad y ordenamiento urbano, que contemplan la Avenida Vásquez Cobo como eje articulador del sistema vial de Leticia.</w:t>
      </w:r>
    </w:p>
    <w:p w14:paraId="576EC0D6" w14:textId="77777777" w:rsidR="00256D40" w:rsidRDefault="00256D40" w:rsidP="000A55DC">
      <w:pPr>
        <w:numPr>
          <w:ilvl w:val="0"/>
          <w:numId w:val="8"/>
        </w:numPr>
        <w:spacing w:after="0" w:line="240" w:lineRule="auto"/>
        <w:jc w:val="both"/>
        <w:rPr>
          <w:rFonts w:ascii="Arial" w:hAnsi="Arial" w:cs="Arial"/>
        </w:rPr>
      </w:pPr>
      <w:r w:rsidRPr="00256D40">
        <w:rPr>
          <w:rFonts w:ascii="Arial" w:hAnsi="Arial" w:cs="Arial"/>
        </w:rPr>
        <w:t>Atribuye a la administración municipal supuestas falencias de planeación y formulación, las cuales podrían generar riesgos de carácter fiscal, disciplinario o reputacional, pese a que dichas responsabilidades no le son atribuibles dentro del marco competencial del proceso.</w:t>
      </w:r>
    </w:p>
    <w:p w14:paraId="659E750E" w14:textId="77777777" w:rsidR="000A55DC" w:rsidRPr="00256D40" w:rsidRDefault="000A55DC" w:rsidP="000A55DC">
      <w:pPr>
        <w:spacing w:after="0" w:line="240" w:lineRule="auto"/>
        <w:ind w:left="720"/>
        <w:jc w:val="both"/>
        <w:rPr>
          <w:rFonts w:ascii="Arial" w:hAnsi="Arial" w:cs="Arial"/>
        </w:rPr>
      </w:pPr>
    </w:p>
    <w:p w14:paraId="4EE8C6B4" w14:textId="77777777" w:rsidR="00256D40" w:rsidRDefault="00256D40" w:rsidP="000A55DC">
      <w:pPr>
        <w:spacing w:after="0" w:line="240" w:lineRule="auto"/>
        <w:jc w:val="both"/>
        <w:rPr>
          <w:rFonts w:ascii="Arial" w:hAnsi="Arial" w:cs="Arial"/>
        </w:rPr>
      </w:pPr>
      <w:r w:rsidRPr="00256D40">
        <w:rPr>
          <w:rFonts w:ascii="Arial" w:hAnsi="Arial" w:cs="Arial"/>
        </w:rPr>
        <w:t xml:space="preserve">De conformidad con el artículo 34 del Código de Procedimiento Administrativo y de lo Contencioso Administrativo (Ley 1437 de 2011), están legitimadas para intervenir en las actuaciones administrativas aquellas personas naturales o jurídicas que acrediten un interés directo en el resultado de </w:t>
      </w:r>
      <w:proofErr w:type="gramStart"/>
      <w:r w:rsidRPr="00256D40">
        <w:rPr>
          <w:rFonts w:ascii="Arial" w:hAnsi="Arial" w:cs="Arial"/>
        </w:rPr>
        <w:t>las mismas</w:t>
      </w:r>
      <w:proofErr w:type="gramEnd"/>
      <w:r w:rsidRPr="00256D40">
        <w:rPr>
          <w:rFonts w:ascii="Arial" w:hAnsi="Arial" w:cs="Arial"/>
        </w:rPr>
        <w:t>. Este interés se configura cuando la decisión puede generar efectos jurídicos, económicos o materiales sobre quien interviene.</w:t>
      </w:r>
    </w:p>
    <w:p w14:paraId="38779B38" w14:textId="77777777" w:rsidR="000A55DC" w:rsidRPr="00256D40" w:rsidRDefault="000A55DC" w:rsidP="000A55DC">
      <w:pPr>
        <w:spacing w:after="0" w:line="240" w:lineRule="auto"/>
        <w:jc w:val="both"/>
        <w:rPr>
          <w:rFonts w:ascii="Arial" w:hAnsi="Arial" w:cs="Arial"/>
        </w:rPr>
      </w:pPr>
    </w:p>
    <w:p w14:paraId="531BD5FC" w14:textId="77777777" w:rsidR="00256D40" w:rsidRPr="00256D40" w:rsidRDefault="00256D40" w:rsidP="000A55DC">
      <w:pPr>
        <w:spacing w:after="0" w:line="240" w:lineRule="auto"/>
        <w:jc w:val="both"/>
        <w:rPr>
          <w:rFonts w:ascii="Arial" w:hAnsi="Arial" w:cs="Arial"/>
        </w:rPr>
      </w:pPr>
      <w:r w:rsidRPr="00256D40">
        <w:rPr>
          <w:rFonts w:ascii="Arial" w:hAnsi="Arial" w:cs="Arial"/>
        </w:rPr>
        <w:t>En el presente caso, el Municipio de Leticia es un sujeto directamente afectado y con interés jurídico evidente, toda vez que la resolución impugnada compromete la ejecución de un proyecto financiado con recursos públicos destinados a su jurisdicción, afecta su planeación estratégica, e incluso podría generar imputaciones que repercutan en su gestión institucional. Por lo tanto, el Municipio se encuentra plenamente legitimado para oponerse a la decisión y ejercer los recursos previstos por la ley, en defensa del interés público local y del adecuado uso de los recursos del Sistema General de Regalías.</w:t>
      </w:r>
    </w:p>
    <w:p w14:paraId="26FF5491" w14:textId="5F0C49F8" w:rsidR="00F4590D" w:rsidRPr="00F4590D" w:rsidRDefault="00F4590D" w:rsidP="000A55DC">
      <w:pPr>
        <w:spacing w:after="0" w:line="240" w:lineRule="auto"/>
        <w:jc w:val="both"/>
        <w:rPr>
          <w:rFonts w:ascii="Arial" w:hAnsi="Arial" w:cs="Arial"/>
        </w:rPr>
      </w:pPr>
    </w:p>
    <w:p w14:paraId="2C5C185E" w14:textId="76BCEE78" w:rsidR="00F4590D" w:rsidRPr="00A52539" w:rsidRDefault="00F4590D" w:rsidP="00A52539">
      <w:pPr>
        <w:pStyle w:val="Prrafodelista"/>
        <w:numPr>
          <w:ilvl w:val="0"/>
          <w:numId w:val="10"/>
        </w:numPr>
        <w:spacing w:after="0" w:line="240" w:lineRule="auto"/>
        <w:jc w:val="both"/>
        <w:rPr>
          <w:rFonts w:ascii="Arial" w:hAnsi="Arial" w:cs="Arial"/>
          <w:b/>
          <w:bCs/>
        </w:rPr>
      </w:pPr>
      <w:r w:rsidRPr="00A52539">
        <w:rPr>
          <w:rFonts w:ascii="Arial" w:hAnsi="Arial" w:cs="Arial"/>
          <w:b/>
          <w:bCs/>
        </w:rPr>
        <w:t>FUNDAMENTOS DEL RECURSO</w:t>
      </w:r>
    </w:p>
    <w:p w14:paraId="2A9D7C79" w14:textId="77777777" w:rsidR="00A52539" w:rsidRPr="00A52539" w:rsidRDefault="00A52539" w:rsidP="00A52539">
      <w:pPr>
        <w:pStyle w:val="Prrafodelista"/>
        <w:spacing w:after="0" w:line="240" w:lineRule="auto"/>
        <w:ind w:left="1080"/>
        <w:jc w:val="both"/>
        <w:rPr>
          <w:rFonts w:ascii="Arial" w:hAnsi="Arial" w:cs="Arial"/>
          <w:b/>
          <w:bCs/>
        </w:rPr>
      </w:pPr>
    </w:p>
    <w:p w14:paraId="641F91E2" w14:textId="4311EB09" w:rsidR="00F4590D" w:rsidRPr="00A52539" w:rsidRDefault="00F4590D" w:rsidP="00A52539">
      <w:pPr>
        <w:pStyle w:val="Prrafodelista"/>
        <w:numPr>
          <w:ilvl w:val="0"/>
          <w:numId w:val="11"/>
        </w:numPr>
        <w:spacing w:after="0" w:line="240" w:lineRule="auto"/>
        <w:jc w:val="both"/>
        <w:rPr>
          <w:rFonts w:ascii="Arial" w:hAnsi="Arial" w:cs="Arial"/>
          <w:b/>
          <w:bCs/>
        </w:rPr>
      </w:pPr>
      <w:r w:rsidRPr="00A52539">
        <w:rPr>
          <w:rFonts w:ascii="Arial" w:hAnsi="Arial" w:cs="Arial"/>
          <w:b/>
          <w:bCs/>
        </w:rPr>
        <w:t>Falta de sustento técnico suficiente en las conclusiones de la RAP</w:t>
      </w:r>
    </w:p>
    <w:p w14:paraId="53E2E903" w14:textId="77777777" w:rsidR="00A52539" w:rsidRPr="00A52539" w:rsidRDefault="00A52539" w:rsidP="00A52539">
      <w:pPr>
        <w:pStyle w:val="Prrafodelista"/>
        <w:spacing w:after="0" w:line="240" w:lineRule="auto"/>
        <w:jc w:val="both"/>
        <w:rPr>
          <w:rFonts w:ascii="Arial" w:hAnsi="Arial" w:cs="Arial"/>
          <w:b/>
          <w:bCs/>
        </w:rPr>
      </w:pPr>
    </w:p>
    <w:p w14:paraId="675CC169" w14:textId="77777777" w:rsidR="0029793B" w:rsidRDefault="0029793B" w:rsidP="000A55DC">
      <w:pPr>
        <w:spacing w:after="0" w:line="240" w:lineRule="auto"/>
        <w:jc w:val="both"/>
        <w:rPr>
          <w:rFonts w:ascii="Arial" w:hAnsi="Arial" w:cs="Arial"/>
        </w:rPr>
      </w:pPr>
      <w:r w:rsidRPr="0029793B">
        <w:rPr>
          <w:rFonts w:ascii="Arial" w:hAnsi="Arial" w:cs="Arial"/>
        </w:rPr>
        <w:t xml:space="preserve">La Resolución No. 198 de 2025 aduce que el proyecto presenta “deficiencias estructurales y de coherencia técnica” que comprometen su viabilidad, </w:t>
      </w:r>
      <w:r w:rsidRPr="0029793B">
        <w:rPr>
          <w:rFonts w:ascii="Arial" w:hAnsi="Arial" w:cs="Arial"/>
        </w:rPr>
        <w:lastRenderedPageBreak/>
        <w:t>mencionando tres aspectos concretos: (i) la presunta superposición de 234,92 metros ya pavimentados; (</w:t>
      </w:r>
      <w:proofErr w:type="spellStart"/>
      <w:r w:rsidRPr="0029793B">
        <w:rPr>
          <w:rFonts w:ascii="Arial" w:hAnsi="Arial" w:cs="Arial"/>
        </w:rPr>
        <w:t>ii</w:t>
      </w:r>
      <w:proofErr w:type="spellEnd"/>
      <w:r w:rsidRPr="0029793B">
        <w:rPr>
          <w:rFonts w:ascii="Arial" w:hAnsi="Arial" w:cs="Arial"/>
        </w:rPr>
        <w:t>) la ausencia de obras de drenaje pluvial para el sector del humedal Simón Bolívar; y (</w:t>
      </w:r>
      <w:proofErr w:type="spellStart"/>
      <w:r w:rsidRPr="0029793B">
        <w:rPr>
          <w:rFonts w:ascii="Arial" w:hAnsi="Arial" w:cs="Arial"/>
        </w:rPr>
        <w:t>iii</w:t>
      </w:r>
      <w:proofErr w:type="spellEnd"/>
      <w:r w:rsidRPr="0029793B">
        <w:rPr>
          <w:rFonts w:ascii="Arial" w:hAnsi="Arial" w:cs="Arial"/>
        </w:rPr>
        <w:t>) la necesidad de modificar redes de acueducto y alcantarillado.</w:t>
      </w:r>
    </w:p>
    <w:p w14:paraId="4648A07C" w14:textId="77777777" w:rsidR="00A52539" w:rsidRPr="0029793B" w:rsidRDefault="00A52539" w:rsidP="000A55DC">
      <w:pPr>
        <w:spacing w:after="0" w:line="240" w:lineRule="auto"/>
        <w:jc w:val="both"/>
        <w:rPr>
          <w:rFonts w:ascii="Arial" w:hAnsi="Arial" w:cs="Arial"/>
        </w:rPr>
      </w:pPr>
    </w:p>
    <w:p w14:paraId="6C74C723" w14:textId="77777777" w:rsidR="0029793B" w:rsidRDefault="0029793B" w:rsidP="000A55DC">
      <w:pPr>
        <w:spacing w:after="0" w:line="240" w:lineRule="auto"/>
        <w:jc w:val="both"/>
        <w:rPr>
          <w:rFonts w:ascii="Arial" w:hAnsi="Arial" w:cs="Arial"/>
        </w:rPr>
      </w:pPr>
      <w:r w:rsidRPr="0029793B">
        <w:rPr>
          <w:rFonts w:ascii="Arial" w:hAnsi="Arial" w:cs="Arial"/>
        </w:rPr>
        <w:t>Sin embargo, dichas afirmaciones carecen de respaldo técnico y probatorio suficiente, pues no se sustentan en informes o peritajes imparciales, ni se contrastan con los documentos contractuales y técnicos obrantes en el expediente.</w:t>
      </w:r>
    </w:p>
    <w:p w14:paraId="4F9D0EE9" w14:textId="77777777" w:rsidR="00A52539" w:rsidRPr="0029793B" w:rsidRDefault="00A52539" w:rsidP="000A55DC">
      <w:pPr>
        <w:spacing w:after="0" w:line="240" w:lineRule="auto"/>
        <w:jc w:val="both"/>
        <w:rPr>
          <w:rFonts w:ascii="Arial" w:hAnsi="Arial" w:cs="Arial"/>
        </w:rPr>
      </w:pPr>
    </w:p>
    <w:p w14:paraId="57087C6E" w14:textId="33A1C6E5" w:rsidR="0029793B" w:rsidRDefault="0029793B" w:rsidP="000A55DC">
      <w:pPr>
        <w:spacing w:after="0" w:line="240" w:lineRule="auto"/>
        <w:jc w:val="both"/>
        <w:rPr>
          <w:rFonts w:ascii="Arial" w:hAnsi="Arial" w:cs="Arial"/>
        </w:rPr>
      </w:pPr>
      <w:r w:rsidRPr="0029793B">
        <w:rPr>
          <w:rFonts w:ascii="Arial" w:hAnsi="Arial" w:cs="Arial"/>
        </w:rPr>
        <w:t xml:space="preserve">Por el contrario, la interventoría del contrato de obra, mediante Concepto Técnico CVU-062-2025 del 19 de agosto de 2025, concluyó expresamente que las observaciones planteadas por la RAP podían ser plenamente subsanadas dentro del marco del contrato vigente, sin requerir su modificación esencial, recomendando por tanto la continuación de la ejecución. Dicho concepto, además, certificó que los ajustes propuestos por el contratista y validados por la supervisión cumplían con las exigencias </w:t>
      </w:r>
      <w:r w:rsidR="00F91D64">
        <w:rPr>
          <w:rFonts w:ascii="Arial" w:hAnsi="Arial" w:cs="Arial"/>
        </w:rPr>
        <w:t xml:space="preserve">y </w:t>
      </w:r>
      <w:r w:rsidRPr="0029793B">
        <w:rPr>
          <w:rFonts w:ascii="Arial" w:hAnsi="Arial" w:cs="Arial"/>
        </w:rPr>
        <w:t>especificaciones del Instituto Nacional de Vías – INVIAS.</w:t>
      </w:r>
    </w:p>
    <w:p w14:paraId="788E2BDB" w14:textId="77777777" w:rsidR="00A52539" w:rsidRPr="0029793B" w:rsidRDefault="00A52539" w:rsidP="000A55DC">
      <w:pPr>
        <w:spacing w:after="0" w:line="240" w:lineRule="auto"/>
        <w:jc w:val="both"/>
        <w:rPr>
          <w:rFonts w:ascii="Arial" w:hAnsi="Arial" w:cs="Arial"/>
        </w:rPr>
      </w:pPr>
    </w:p>
    <w:p w14:paraId="7B9A6565" w14:textId="47C96480" w:rsidR="0029793B" w:rsidRDefault="0029793B" w:rsidP="000A55DC">
      <w:pPr>
        <w:spacing w:after="0" w:line="240" w:lineRule="auto"/>
        <w:jc w:val="both"/>
        <w:rPr>
          <w:rFonts w:ascii="Arial" w:hAnsi="Arial" w:cs="Arial"/>
        </w:rPr>
      </w:pPr>
      <w:r w:rsidRPr="0029793B">
        <w:rPr>
          <w:rFonts w:ascii="Arial" w:hAnsi="Arial" w:cs="Arial"/>
        </w:rPr>
        <w:t xml:space="preserve">La propia RAP Amazonía, en la parte motiva de la resolución recurrida, reconoce la existencia de este dictamen favorable, pero lo desestima sin ofrecer un análisis técnico contradictorio ni sustento pericial independiente que desvirtúe sus conclusiones. Tal omisión vulnera el principio de motivación suficiente de los actos administrativos, exigido por </w:t>
      </w:r>
      <w:r w:rsidR="00F91D64">
        <w:rPr>
          <w:rFonts w:ascii="Arial" w:hAnsi="Arial" w:cs="Arial"/>
        </w:rPr>
        <w:t>el</w:t>
      </w:r>
      <w:r w:rsidRPr="0029793B">
        <w:rPr>
          <w:rFonts w:ascii="Arial" w:hAnsi="Arial" w:cs="Arial"/>
        </w:rPr>
        <w:t xml:space="preserve"> Código de Procedimiento Administrativo y de lo Contencioso Administrativo (CPACA), así como los principios de proporcionalidad, congruencia y debido proceso administrativo.</w:t>
      </w:r>
    </w:p>
    <w:p w14:paraId="798D0216" w14:textId="77777777" w:rsidR="00A52539" w:rsidRPr="0029793B" w:rsidRDefault="00A52539" w:rsidP="000A55DC">
      <w:pPr>
        <w:spacing w:after="0" w:line="240" w:lineRule="auto"/>
        <w:jc w:val="both"/>
        <w:rPr>
          <w:rFonts w:ascii="Arial" w:hAnsi="Arial" w:cs="Arial"/>
        </w:rPr>
      </w:pPr>
    </w:p>
    <w:p w14:paraId="02668ABD" w14:textId="799A67D9" w:rsidR="0029793B" w:rsidRDefault="0029793B" w:rsidP="000A55DC">
      <w:pPr>
        <w:spacing w:after="0" w:line="240" w:lineRule="auto"/>
        <w:jc w:val="both"/>
        <w:rPr>
          <w:rFonts w:ascii="Arial" w:hAnsi="Arial" w:cs="Arial"/>
        </w:rPr>
      </w:pPr>
      <w:r w:rsidRPr="0029793B">
        <w:rPr>
          <w:rFonts w:ascii="Arial" w:hAnsi="Arial" w:cs="Arial"/>
        </w:rPr>
        <w:t>De esta manera, la decisión de la RAP se apoya en juicios de valor subjetivos, no en pruebas técnicas objetivas que demuestren la imposibilidad material o jurídica de continuar la obra, lo que resulta improcedente frente a la naturaleza del contrato y los medios técnicos disponibles para corregir o ajustar situaciones propias de la ejecución.</w:t>
      </w:r>
    </w:p>
    <w:p w14:paraId="60061114" w14:textId="77777777" w:rsidR="00A52539" w:rsidRPr="0029793B" w:rsidRDefault="00A52539" w:rsidP="000A55DC">
      <w:pPr>
        <w:spacing w:after="0" w:line="240" w:lineRule="auto"/>
        <w:jc w:val="both"/>
        <w:rPr>
          <w:rFonts w:ascii="Arial" w:hAnsi="Arial" w:cs="Arial"/>
        </w:rPr>
      </w:pPr>
    </w:p>
    <w:p w14:paraId="198FB76E" w14:textId="5C598460" w:rsidR="0029793B" w:rsidRDefault="0029793B" w:rsidP="000A55DC">
      <w:pPr>
        <w:spacing w:after="0" w:line="240" w:lineRule="auto"/>
        <w:jc w:val="both"/>
        <w:rPr>
          <w:rFonts w:ascii="Arial" w:hAnsi="Arial" w:cs="Arial"/>
        </w:rPr>
      </w:pPr>
      <w:r w:rsidRPr="0029793B">
        <w:rPr>
          <w:rFonts w:ascii="Arial" w:hAnsi="Arial" w:cs="Arial"/>
        </w:rPr>
        <w:t xml:space="preserve">Sobre el concepto de “alcance del objeto contractual” </w:t>
      </w:r>
      <w:r w:rsidR="00A52539">
        <w:rPr>
          <w:rFonts w:ascii="Arial" w:hAnsi="Arial" w:cs="Arial"/>
        </w:rPr>
        <w:t>e</w:t>
      </w:r>
      <w:r w:rsidRPr="0029793B">
        <w:rPr>
          <w:rFonts w:ascii="Arial" w:hAnsi="Arial" w:cs="Arial"/>
        </w:rPr>
        <w:t>n el ámbito del derecho contractual estatal, hace referencia al conjunto de obligaciones, actividades, entregables y metas que el contratista debe cumplir para materializar el objeto principal definido por la entidad contratante. Dicho alcance se configura a partir de los estudios previos, los pliegos de condiciones y las especificaciones técnicas, y define el límite operativo y funcional del contrato.</w:t>
      </w:r>
    </w:p>
    <w:p w14:paraId="58D755E6" w14:textId="77777777" w:rsidR="00A52539" w:rsidRPr="0029793B" w:rsidRDefault="00A52539" w:rsidP="000A55DC">
      <w:pPr>
        <w:spacing w:after="0" w:line="240" w:lineRule="auto"/>
        <w:jc w:val="both"/>
        <w:rPr>
          <w:rFonts w:ascii="Arial" w:hAnsi="Arial" w:cs="Arial"/>
        </w:rPr>
      </w:pPr>
    </w:p>
    <w:p w14:paraId="397CB899" w14:textId="77777777" w:rsidR="0029793B" w:rsidRDefault="0029793B" w:rsidP="000A55DC">
      <w:pPr>
        <w:spacing w:after="0" w:line="240" w:lineRule="auto"/>
        <w:jc w:val="both"/>
        <w:rPr>
          <w:rFonts w:ascii="Arial" w:hAnsi="Arial" w:cs="Arial"/>
        </w:rPr>
      </w:pPr>
      <w:r w:rsidRPr="0029793B">
        <w:rPr>
          <w:rFonts w:ascii="Arial" w:hAnsi="Arial" w:cs="Arial"/>
        </w:rPr>
        <w:t>En términos jurídicos, el alcance representa la dimensión de ejecución del objeto, es decir, aquello que el contratista debe desarrollar para satisfacer la necesidad pública identificada. Por ello, una modificación del alcance solo se presenta cuando se altera la naturaleza, finalidad o estructura esencial del objeto, lo que requeriría un procedimiento formal de modificación contractual o la suscripción de un nuevo contrato.</w:t>
      </w:r>
    </w:p>
    <w:p w14:paraId="149A83AE" w14:textId="77777777" w:rsidR="00F91D64" w:rsidRPr="0029793B" w:rsidRDefault="00F91D64" w:rsidP="000A55DC">
      <w:pPr>
        <w:spacing w:after="0" w:line="240" w:lineRule="auto"/>
        <w:jc w:val="both"/>
        <w:rPr>
          <w:rFonts w:ascii="Arial" w:hAnsi="Arial" w:cs="Arial"/>
        </w:rPr>
      </w:pPr>
    </w:p>
    <w:p w14:paraId="00C2A3EC" w14:textId="77777777" w:rsidR="0029793B" w:rsidRDefault="0029793B" w:rsidP="000A55DC">
      <w:pPr>
        <w:spacing w:after="0" w:line="240" w:lineRule="auto"/>
        <w:jc w:val="both"/>
        <w:rPr>
          <w:rFonts w:ascii="Arial" w:hAnsi="Arial" w:cs="Arial"/>
        </w:rPr>
      </w:pPr>
      <w:r w:rsidRPr="0029793B">
        <w:rPr>
          <w:rFonts w:ascii="Arial" w:hAnsi="Arial" w:cs="Arial"/>
        </w:rPr>
        <w:t xml:space="preserve">No obstante, el marco jurídico y la práctica contractual en materia de obras públicas reconocen que los proyectos de infraestructura —como el presente— pueden </w:t>
      </w:r>
      <w:r w:rsidRPr="0029793B">
        <w:rPr>
          <w:rFonts w:ascii="Arial" w:hAnsi="Arial" w:cs="Arial"/>
        </w:rPr>
        <w:lastRenderedPageBreak/>
        <w:t>enfrentar limitaciones técnicas, físicas o presupuestales que no justifican una modificación esencial del objeto, sino simples ajustes de ejecución dentro de su mismo alcance, los cuales se resuelven mediante mecanismos de reducción o reprogramación de cantidades de obra, priorización de actividades o adaptación técnica, siempre que se mantenga incólume la finalidad pública del contrato.</w:t>
      </w:r>
    </w:p>
    <w:p w14:paraId="2B01F1E0" w14:textId="77777777" w:rsidR="00A52539" w:rsidRDefault="00A52539" w:rsidP="000A55DC">
      <w:pPr>
        <w:spacing w:after="0" w:line="240" w:lineRule="auto"/>
        <w:jc w:val="both"/>
        <w:rPr>
          <w:rFonts w:ascii="Arial" w:hAnsi="Arial" w:cs="Arial"/>
        </w:rPr>
      </w:pPr>
    </w:p>
    <w:p w14:paraId="7EDED880" w14:textId="5E3DDB5A" w:rsidR="00983068" w:rsidRPr="00983068" w:rsidRDefault="00983068" w:rsidP="000A55DC">
      <w:pPr>
        <w:spacing w:after="0" w:line="240" w:lineRule="auto"/>
        <w:jc w:val="both"/>
        <w:rPr>
          <w:rFonts w:ascii="Arial" w:hAnsi="Arial" w:cs="Arial"/>
        </w:rPr>
      </w:pPr>
      <w:r w:rsidRPr="00983068">
        <w:rPr>
          <w:rFonts w:ascii="Arial" w:hAnsi="Arial" w:cs="Arial"/>
        </w:rPr>
        <w:t>Desde una perspectiva jurídica y técnica, la ejecución de los contratos estatales no puede concebirse como un proceso rígido o estático. Por el contrario, constituye una etapa dinámica de desarrollo administrativo, en la cual concurren factores técnicos, presupuestales y operativos que pueden requerir ajustes razonables o adaptaciones funcionales, siempre que estos no alteren la esencia del objeto contratado ni desnaturalicen la finalidad pública que le dio origen. La práctica contractual en materia de obra pública demuestra que las condiciones reales del terreno, las variaciones menores en las cantidades de obra, la disponibilidad de materiales o la necesidad de optimizar recursos son circunstancias previsibles y gestionables dentro de la misma ejecución, sin que ello implique modificación contractual. Estos ajustes forman parte del principio de ejecución eficaz y continua del contrato estatal, mediante el cual la Administración busca cumplir el objeto pactado, garantizando la satisfacción de la necesidad pública con los medios más adecuados y eficientes. En este sentido, el concepto de “alcance del objeto contractual” delimita lo que el contratista debe ejecutar para cumplir la finalidad del negocio jurídico, pero no impide que, dentro de esos límites, se adopten soluciones técnicas flexibles o reprogramaciones operativas, orientadas a preservar la eficacia, la economía y la continuidad de la ejecución contractual</w:t>
      </w:r>
      <w:r w:rsidR="00D6268E">
        <w:rPr>
          <w:rFonts w:ascii="Arial" w:hAnsi="Arial" w:cs="Arial"/>
        </w:rPr>
        <w:t>, como lo pueden ser:</w:t>
      </w:r>
    </w:p>
    <w:p w14:paraId="617AE553" w14:textId="77777777" w:rsidR="00A52539" w:rsidRPr="0029793B" w:rsidRDefault="00A52539" w:rsidP="000A55DC">
      <w:pPr>
        <w:spacing w:after="0" w:line="240" w:lineRule="auto"/>
        <w:jc w:val="both"/>
        <w:rPr>
          <w:rFonts w:ascii="Arial" w:hAnsi="Arial" w:cs="Arial"/>
          <w:color w:val="EE0000"/>
        </w:rPr>
      </w:pPr>
    </w:p>
    <w:p w14:paraId="226D9057" w14:textId="77777777" w:rsidR="0029793B" w:rsidRPr="0029793B" w:rsidRDefault="0029793B" w:rsidP="000A55DC">
      <w:pPr>
        <w:numPr>
          <w:ilvl w:val="0"/>
          <w:numId w:val="9"/>
        </w:numPr>
        <w:spacing w:after="0" w:line="240" w:lineRule="auto"/>
        <w:jc w:val="both"/>
        <w:rPr>
          <w:rFonts w:ascii="Arial" w:hAnsi="Arial" w:cs="Arial"/>
        </w:rPr>
      </w:pPr>
      <w:r w:rsidRPr="0029793B">
        <w:rPr>
          <w:rFonts w:ascii="Arial" w:hAnsi="Arial" w:cs="Arial"/>
        </w:rPr>
        <w:t>Reducción o redistribución de ciertas cantidades de obra.</w:t>
      </w:r>
    </w:p>
    <w:p w14:paraId="60473039" w14:textId="77777777" w:rsidR="0029793B" w:rsidRPr="0029793B" w:rsidRDefault="0029793B" w:rsidP="000A55DC">
      <w:pPr>
        <w:numPr>
          <w:ilvl w:val="0"/>
          <w:numId w:val="9"/>
        </w:numPr>
        <w:spacing w:after="0" w:line="240" w:lineRule="auto"/>
        <w:jc w:val="both"/>
        <w:rPr>
          <w:rFonts w:ascii="Arial" w:hAnsi="Arial" w:cs="Arial"/>
        </w:rPr>
      </w:pPr>
      <w:r w:rsidRPr="0029793B">
        <w:rPr>
          <w:rFonts w:ascii="Arial" w:hAnsi="Arial" w:cs="Arial"/>
        </w:rPr>
        <w:t>Priorización de tramos o componentes técnicos según disponibilidad del terreno y condiciones ambientales.</w:t>
      </w:r>
    </w:p>
    <w:p w14:paraId="2611D3A6" w14:textId="77777777" w:rsidR="0029793B" w:rsidRDefault="0029793B" w:rsidP="000A55DC">
      <w:pPr>
        <w:numPr>
          <w:ilvl w:val="0"/>
          <w:numId w:val="9"/>
        </w:numPr>
        <w:spacing w:after="0" w:line="240" w:lineRule="auto"/>
        <w:jc w:val="both"/>
        <w:rPr>
          <w:rFonts w:ascii="Arial" w:hAnsi="Arial" w:cs="Arial"/>
        </w:rPr>
      </w:pPr>
      <w:r w:rsidRPr="0029793B">
        <w:rPr>
          <w:rFonts w:ascii="Arial" w:hAnsi="Arial" w:cs="Arial"/>
        </w:rPr>
        <w:t>Implementación de soluciones hidráulicas o de drenaje de menor impacto, validadas técnicamente por la interventoría.</w:t>
      </w:r>
    </w:p>
    <w:p w14:paraId="5417B053" w14:textId="77777777" w:rsidR="00A52539" w:rsidRPr="0029793B" w:rsidRDefault="00A52539" w:rsidP="00A52539">
      <w:pPr>
        <w:spacing w:after="0" w:line="240" w:lineRule="auto"/>
        <w:ind w:left="720"/>
        <w:jc w:val="both"/>
        <w:rPr>
          <w:rFonts w:ascii="Arial" w:hAnsi="Arial" w:cs="Arial"/>
        </w:rPr>
      </w:pPr>
    </w:p>
    <w:p w14:paraId="14F15216" w14:textId="77777777" w:rsidR="0029793B" w:rsidRDefault="0029793B" w:rsidP="000A55DC">
      <w:pPr>
        <w:spacing w:after="0" w:line="240" w:lineRule="auto"/>
        <w:jc w:val="both"/>
        <w:rPr>
          <w:rFonts w:ascii="Arial" w:hAnsi="Arial" w:cs="Arial"/>
        </w:rPr>
      </w:pPr>
      <w:r w:rsidRPr="0029793B">
        <w:rPr>
          <w:rFonts w:ascii="Arial" w:hAnsi="Arial" w:cs="Arial"/>
        </w:rPr>
        <w:t>Tales ajustes, lejos de implicar una modificación del contrato, constituyen una forma legítima y eficiente de materializar el objeto pactado, asegurando su ejecución dentro de los límites presupuestales y técnicos previstos originalmente.</w:t>
      </w:r>
    </w:p>
    <w:p w14:paraId="48AC0BDC" w14:textId="77777777" w:rsidR="00296EDF" w:rsidRDefault="00296EDF" w:rsidP="000A55DC">
      <w:pPr>
        <w:spacing w:after="0" w:line="240" w:lineRule="auto"/>
        <w:jc w:val="both"/>
        <w:rPr>
          <w:rFonts w:ascii="Arial" w:hAnsi="Arial" w:cs="Arial"/>
        </w:rPr>
      </w:pPr>
    </w:p>
    <w:p w14:paraId="7E36640B" w14:textId="77777777" w:rsidR="00296EDF" w:rsidRPr="00296EDF" w:rsidRDefault="00296EDF" w:rsidP="00296EDF">
      <w:pPr>
        <w:spacing w:after="0" w:line="240" w:lineRule="auto"/>
        <w:jc w:val="both"/>
        <w:rPr>
          <w:rFonts w:ascii="Arial" w:hAnsi="Arial" w:cs="Arial"/>
        </w:rPr>
      </w:pPr>
      <w:r w:rsidRPr="00296EDF">
        <w:rPr>
          <w:rFonts w:ascii="Arial" w:hAnsi="Arial" w:cs="Arial"/>
        </w:rPr>
        <w:t>De conformidad con los criterios doctrinarios de la Agencia Nacional de Contratación Pública – Colombia Compra Eficiente, expuestos en los Conceptos C-960 de 2024 y C-384 de 2025, la modificación de un contrato estatal solo se considera irregular cuando altera el objeto o la esencia del negocio jurídico, mas no cuando obedece a la necesidad de ajustar condiciones técnicas para garantizar su ejecución y el interés público</w:t>
      </w:r>
    </w:p>
    <w:p w14:paraId="01F3C2C2" w14:textId="2BAEC5F4" w:rsidR="00296EDF" w:rsidRPr="00296EDF" w:rsidRDefault="00296EDF" w:rsidP="00296EDF">
      <w:pPr>
        <w:spacing w:after="0" w:line="240" w:lineRule="auto"/>
        <w:jc w:val="both"/>
        <w:rPr>
          <w:rFonts w:ascii="Arial" w:hAnsi="Arial" w:cs="Arial"/>
        </w:rPr>
      </w:pPr>
    </w:p>
    <w:p w14:paraId="1EE32198" w14:textId="77777777" w:rsidR="00296EDF" w:rsidRDefault="00296EDF" w:rsidP="00296EDF">
      <w:pPr>
        <w:spacing w:after="0" w:line="240" w:lineRule="auto"/>
        <w:jc w:val="both"/>
        <w:rPr>
          <w:rFonts w:ascii="Arial" w:hAnsi="Arial" w:cs="Arial"/>
        </w:rPr>
      </w:pPr>
      <w:r w:rsidRPr="00296EDF">
        <w:rPr>
          <w:rFonts w:ascii="Arial" w:hAnsi="Arial" w:cs="Arial"/>
        </w:rPr>
        <w:t>En ese sentido, los ajustes que impliquen la adaptación de diseños, la incorporación de obras complementarias o la actualización de precios no configuran un cambio de objeto, siempre que no se modifiquen los fines, productos o localización del proyecto, y se mantenga la finalidad para la cual fue aprobado.</w:t>
      </w:r>
    </w:p>
    <w:p w14:paraId="7F83408C" w14:textId="6AECF0EA" w:rsidR="00296EDF" w:rsidRPr="00296EDF" w:rsidRDefault="00296EDF" w:rsidP="00296EDF">
      <w:pPr>
        <w:spacing w:after="0" w:line="240" w:lineRule="auto"/>
        <w:jc w:val="both"/>
        <w:rPr>
          <w:rFonts w:ascii="Arial" w:hAnsi="Arial" w:cs="Arial"/>
        </w:rPr>
      </w:pPr>
      <w:r w:rsidRPr="00296EDF">
        <w:rPr>
          <w:rFonts w:ascii="Arial" w:hAnsi="Arial" w:cs="Arial"/>
        </w:rPr>
        <w:lastRenderedPageBreak/>
        <w:br/>
        <w:t>Así, las adecuaciones derivadas de condiciones técnicas o ambientales identificadas durante la ejecución encajan dentro de la noción de mutabilidad contractual legítima, reconocida tanto por la jurisprudencia del Consejo de Estado como por la doctrina administrativa citada.</w:t>
      </w:r>
    </w:p>
    <w:p w14:paraId="11CEC615" w14:textId="27A72773" w:rsidR="00296EDF" w:rsidRDefault="00296EDF" w:rsidP="000A55DC">
      <w:pPr>
        <w:spacing w:after="0" w:line="240" w:lineRule="auto"/>
        <w:jc w:val="both"/>
        <w:rPr>
          <w:rFonts w:ascii="Arial" w:hAnsi="Arial" w:cs="Arial"/>
        </w:rPr>
      </w:pPr>
    </w:p>
    <w:p w14:paraId="08E6D41D" w14:textId="77777777" w:rsidR="0029793B" w:rsidRDefault="0029793B" w:rsidP="000A55DC">
      <w:pPr>
        <w:spacing w:after="0" w:line="240" w:lineRule="auto"/>
        <w:jc w:val="both"/>
        <w:rPr>
          <w:rFonts w:ascii="Arial" w:hAnsi="Arial" w:cs="Arial"/>
        </w:rPr>
      </w:pPr>
      <w:r w:rsidRPr="0029793B">
        <w:rPr>
          <w:rFonts w:ascii="Arial" w:hAnsi="Arial" w:cs="Arial"/>
        </w:rPr>
        <w:t>Por tanto, no existe fundamento para afirmar que las supuestas deficiencias detectadas por la RAP Amazonía comprometen la continuidad o la viabilidad del proyecto, pues —de acuerdo con la experiencia administrativa y técnica en obras de infraestructura— toda limitación razonable puede ser superada dentro del marco contractual existente, sin alterar su esencia, su finalidad ni su alcance jurídico.</w:t>
      </w:r>
    </w:p>
    <w:p w14:paraId="11FFAB89" w14:textId="77777777" w:rsidR="00A52539" w:rsidRPr="0029793B" w:rsidRDefault="00A52539" w:rsidP="000A55DC">
      <w:pPr>
        <w:spacing w:after="0" w:line="240" w:lineRule="auto"/>
        <w:jc w:val="both"/>
        <w:rPr>
          <w:rFonts w:ascii="Arial" w:hAnsi="Arial" w:cs="Arial"/>
        </w:rPr>
      </w:pPr>
    </w:p>
    <w:p w14:paraId="584565F7" w14:textId="1CD19082" w:rsidR="00F4590D" w:rsidRPr="00A52539" w:rsidRDefault="00F4590D" w:rsidP="00A52539">
      <w:pPr>
        <w:pStyle w:val="Prrafodelista"/>
        <w:numPr>
          <w:ilvl w:val="0"/>
          <w:numId w:val="11"/>
        </w:numPr>
        <w:spacing w:after="0" w:line="240" w:lineRule="auto"/>
        <w:jc w:val="both"/>
        <w:rPr>
          <w:rFonts w:ascii="Arial" w:hAnsi="Arial" w:cs="Arial"/>
          <w:b/>
          <w:bCs/>
        </w:rPr>
      </w:pPr>
      <w:r w:rsidRPr="00A52539">
        <w:rPr>
          <w:rFonts w:ascii="Arial" w:hAnsi="Arial" w:cs="Arial"/>
          <w:b/>
          <w:bCs/>
        </w:rPr>
        <w:t>Desconocimiento del principio de coordinación interinstitucional</w:t>
      </w:r>
    </w:p>
    <w:p w14:paraId="60119016" w14:textId="77777777" w:rsidR="00A52539" w:rsidRPr="00A52539" w:rsidRDefault="00A52539" w:rsidP="00A52539">
      <w:pPr>
        <w:pStyle w:val="Prrafodelista"/>
        <w:spacing w:after="0" w:line="240" w:lineRule="auto"/>
        <w:jc w:val="both"/>
        <w:rPr>
          <w:rFonts w:ascii="Arial" w:hAnsi="Arial" w:cs="Arial"/>
          <w:b/>
          <w:bCs/>
        </w:rPr>
      </w:pPr>
    </w:p>
    <w:p w14:paraId="53E206C0" w14:textId="77777777" w:rsidR="00983068" w:rsidRDefault="00983068" w:rsidP="000A55DC">
      <w:pPr>
        <w:spacing w:after="0" w:line="240" w:lineRule="auto"/>
        <w:jc w:val="both"/>
        <w:rPr>
          <w:rFonts w:ascii="Arial" w:hAnsi="Arial" w:cs="Arial"/>
        </w:rPr>
      </w:pPr>
      <w:r w:rsidRPr="00983068">
        <w:rPr>
          <w:rFonts w:ascii="Arial" w:hAnsi="Arial" w:cs="Arial"/>
        </w:rPr>
        <w:t>La decisión contenida en la Resolución No. 198 de 2025 fue adoptada sin haber involucrado al Municipio de Leticia en el proceso de análisis y deliberación, a pesar de que este ostenta la titularidad plena de las competencias urbanísticas, viales y de ordenamiento territorial dentro de su jurisdicción. Esta omisión no constituye un simple defecto procedimental, sino una afectación sustantiva al principio de coordinación interinstitucional, que exige la articulación armónica entre las entidades públicas cuando sus actuaciones convergen sobre un mismo territorio o persiguen objetivos comunes.</w:t>
      </w:r>
    </w:p>
    <w:p w14:paraId="12B49054" w14:textId="77777777" w:rsidR="00A52539" w:rsidRPr="00983068" w:rsidRDefault="00A52539" w:rsidP="000A55DC">
      <w:pPr>
        <w:spacing w:after="0" w:line="240" w:lineRule="auto"/>
        <w:jc w:val="both"/>
        <w:rPr>
          <w:rFonts w:ascii="Arial" w:hAnsi="Arial" w:cs="Arial"/>
        </w:rPr>
      </w:pPr>
    </w:p>
    <w:p w14:paraId="2129DDA0" w14:textId="77777777" w:rsidR="00983068" w:rsidRDefault="00983068" w:rsidP="000A55DC">
      <w:pPr>
        <w:spacing w:after="0" w:line="240" w:lineRule="auto"/>
        <w:jc w:val="both"/>
        <w:rPr>
          <w:rFonts w:ascii="Arial" w:hAnsi="Arial" w:cs="Arial"/>
        </w:rPr>
      </w:pPr>
      <w:r w:rsidRPr="00983068">
        <w:rPr>
          <w:rFonts w:ascii="Arial" w:hAnsi="Arial" w:cs="Arial"/>
        </w:rPr>
        <w:t>El artículo 209 de la Constitución Política impone a todas las autoridades el deber de coordinar sus actuaciones para el cumplimiento de los fines del Estado, mientras que el artículo 288 establece los principios de concurrencia, subsidiariedad y complementariedad entre los distintos niveles de la administración pública. A su vez, el artículo 6 de la Ley 489 de 1998 desarrolla estos postulados, disponiendo que las entidades deben actuar de manera coordinada y colaborativa para garantizar la unidad del Estado y la eficacia en la gestión pública.</w:t>
      </w:r>
    </w:p>
    <w:p w14:paraId="20BDE8EC" w14:textId="77777777" w:rsidR="00A52539" w:rsidRPr="00983068" w:rsidRDefault="00A52539" w:rsidP="000A55DC">
      <w:pPr>
        <w:spacing w:after="0" w:line="240" w:lineRule="auto"/>
        <w:jc w:val="both"/>
        <w:rPr>
          <w:rFonts w:ascii="Arial" w:hAnsi="Arial" w:cs="Arial"/>
        </w:rPr>
      </w:pPr>
    </w:p>
    <w:p w14:paraId="5E280FDA" w14:textId="77777777" w:rsidR="00983068" w:rsidRPr="000C2653" w:rsidRDefault="00983068" w:rsidP="000A55DC">
      <w:pPr>
        <w:spacing w:after="0" w:line="240" w:lineRule="auto"/>
        <w:jc w:val="both"/>
        <w:rPr>
          <w:rFonts w:ascii="Arial" w:hAnsi="Arial" w:cs="Arial"/>
          <w:color w:val="EE0000"/>
        </w:rPr>
      </w:pPr>
      <w:r w:rsidRPr="000C2653">
        <w:rPr>
          <w:rFonts w:ascii="Arial" w:hAnsi="Arial" w:cs="Arial"/>
          <w:color w:val="EE0000"/>
        </w:rPr>
        <w:t>En ese contexto, la RAP Amazonía, al adoptar unilateralmente una decisión que compromete la ejecución de un proyecto territorialmente localizado en Leticia y directamente vinculado con su planeación vial y urbana, debió convocar formalmente al Municipio para participar en la discusión técnica y administrativa previa. Tal participación no solo era deseable desde la perspectiva de la gestión, sino obligatoria desde el punto de vista jurídico, en tanto el acto administrativo incide en materias bajo la órbita competencial municipal, como la movilidad, la infraestructura y el uso del suelo.</w:t>
      </w:r>
    </w:p>
    <w:p w14:paraId="24BE2161" w14:textId="77777777" w:rsidR="00A52539" w:rsidRPr="00983068" w:rsidRDefault="00A52539" w:rsidP="000A55DC">
      <w:pPr>
        <w:spacing w:after="0" w:line="240" w:lineRule="auto"/>
        <w:jc w:val="both"/>
        <w:rPr>
          <w:rFonts w:ascii="Arial" w:hAnsi="Arial" w:cs="Arial"/>
        </w:rPr>
      </w:pPr>
    </w:p>
    <w:p w14:paraId="41F4F809" w14:textId="77777777" w:rsidR="00983068" w:rsidRDefault="00983068" w:rsidP="000A55DC">
      <w:pPr>
        <w:spacing w:after="0" w:line="240" w:lineRule="auto"/>
        <w:jc w:val="both"/>
        <w:rPr>
          <w:rFonts w:ascii="Arial" w:hAnsi="Arial" w:cs="Arial"/>
        </w:rPr>
      </w:pPr>
      <w:r w:rsidRPr="00983068">
        <w:rPr>
          <w:rFonts w:ascii="Arial" w:hAnsi="Arial" w:cs="Arial"/>
        </w:rPr>
        <w:t>La ausencia de coordinación con el Municipio genera una ruptura en la cadena de corresponsabilidad institucional, pues se adoptó una decisión con impacto directo sobre la inversión pública local sin escuchar a la autoridad territorial que, por mandato legal, es responsable de su planeación y sostenibilidad. Además, se desconoció el principio de planeación participativa que rige la gestión pública territorial, el cual exige que toda modificación sustancial de un proyecto de impacto urbano o regional sea concertada con la entidad territorial afectada.</w:t>
      </w:r>
    </w:p>
    <w:p w14:paraId="57DBB928" w14:textId="77777777" w:rsidR="00A52539" w:rsidRPr="00983068" w:rsidRDefault="00A52539" w:rsidP="000A55DC">
      <w:pPr>
        <w:spacing w:after="0" w:line="240" w:lineRule="auto"/>
        <w:jc w:val="both"/>
        <w:rPr>
          <w:rFonts w:ascii="Arial" w:hAnsi="Arial" w:cs="Arial"/>
        </w:rPr>
      </w:pPr>
    </w:p>
    <w:p w14:paraId="6DDC42F0" w14:textId="77777777" w:rsidR="00983068" w:rsidRDefault="00983068" w:rsidP="000A55DC">
      <w:pPr>
        <w:spacing w:after="0" w:line="240" w:lineRule="auto"/>
        <w:jc w:val="both"/>
        <w:rPr>
          <w:rFonts w:ascii="Arial" w:hAnsi="Arial" w:cs="Arial"/>
        </w:rPr>
      </w:pPr>
      <w:r w:rsidRPr="00983068">
        <w:rPr>
          <w:rFonts w:ascii="Arial" w:hAnsi="Arial" w:cs="Arial"/>
        </w:rPr>
        <w:t>En consecuencia, la omisión de la RAP Amazonía de coordinar su actuación con el Municipio de Leticia vicia de legitimidad y de razonabilidad la decisión adoptada, al haberse dictado sin la intervención de la autoridad competente en materia de planeación del desarrollo local. Este desconocimiento interinstitucional no solo vulnera los principios constitucionales antes mencionados, sino que contraría el deber de colaboración armónica entre las entidades del Estado, principio que constituye la base del ejercicio responsable y coherente de la función administrativa.</w:t>
      </w:r>
    </w:p>
    <w:p w14:paraId="79644CED" w14:textId="77777777" w:rsidR="00A52539" w:rsidRPr="00983068" w:rsidRDefault="00A52539" w:rsidP="000A55DC">
      <w:pPr>
        <w:spacing w:after="0" w:line="240" w:lineRule="auto"/>
        <w:jc w:val="both"/>
        <w:rPr>
          <w:rFonts w:ascii="Arial" w:hAnsi="Arial" w:cs="Arial"/>
        </w:rPr>
      </w:pPr>
    </w:p>
    <w:p w14:paraId="14B705F7" w14:textId="24F63A2A" w:rsidR="00F4590D" w:rsidRPr="00A52539" w:rsidRDefault="00F4590D" w:rsidP="00A52539">
      <w:pPr>
        <w:pStyle w:val="Prrafodelista"/>
        <w:numPr>
          <w:ilvl w:val="0"/>
          <w:numId w:val="11"/>
        </w:numPr>
        <w:spacing w:after="0" w:line="240" w:lineRule="auto"/>
        <w:jc w:val="both"/>
        <w:rPr>
          <w:rFonts w:ascii="Arial" w:hAnsi="Arial" w:cs="Arial"/>
          <w:b/>
          <w:bCs/>
        </w:rPr>
      </w:pPr>
      <w:r w:rsidRPr="00A52539">
        <w:rPr>
          <w:rFonts w:ascii="Arial" w:hAnsi="Arial" w:cs="Arial"/>
          <w:b/>
          <w:bCs/>
        </w:rPr>
        <w:t>Consecuencias desproporcionadas</w:t>
      </w:r>
    </w:p>
    <w:p w14:paraId="40374F9E" w14:textId="77777777" w:rsidR="00A52539" w:rsidRPr="00A52539" w:rsidRDefault="00A52539" w:rsidP="00A52539">
      <w:pPr>
        <w:pStyle w:val="Prrafodelista"/>
        <w:spacing w:after="0" w:line="240" w:lineRule="auto"/>
        <w:jc w:val="both"/>
        <w:rPr>
          <w:rFonts w:ascii="Arial" w:hAnsi="Arial" w:cs="Arial"/>
          <w:b/>
          <w:bCs/>
        </w:rPr>
      </w:pPr>
    </w:p>
    <w:p w14:paraId="2C07B450" w14:textId="77777777" w:rsidR="000A55DC" w:rsidRDefault="000A55DC" w:rsidP="000A55DC">
      <w:pPr>
        <w:spacing w:after="0" w:line="240" w:lineRule="auto"/>
        <w:jc w:val="both"/>
        <w:rPr>
          <w:rFonts w:ascii="Arial" w:hAnsi="Arial" w:cs="Arial"/>
        </w:rPr>
      </w:pPr>
      <w:r w:rsidRPr="000A55DC">
        <w:rPr>
          <w:rFonts w:ascii="Arial" w:hAnsi="Arial" w:cs="Arial"/>
        </w:rPr>
        <w:t>La determinación contenida en la Resolución No. 198 de 2025, mediante la cual la RAP Amazonía decide suspender —o eventualmente no continuar— la ejecución del proyecto BPIN 2021000060016, produce consecuencias jurídicas, económicas y sociales de gran magnitud, que trascienden el ámbito administrativo interno de la entidad ejecutora y afectan de manera directa los intereses del Municipio de Leticia y de su comunidad.</w:t>
      </w:r>
    </w:p>
    <w:p w14:paraId="03F84C4A" w14:textId="77777777" w:rsidR="00A52539" w:rsidRPr="000A55DC" w:rsidRDefault="00A52539" w:rsidP="000A55DC">
      <w:pPr>
        <w:spacing w:after="0" w:line="240" w:lineRule="auto"/>
        <w:jc w:val="both"/>
        <w:rPr>
          <w:rFonts w:ascii="Arial" w:hAnsi="Arial" w:cs="Arial"/>
        </w:rPr>
      </w:pPr>
    </w:p>
    <w:p w14:paraId="3E9D197C" w14:textId="77777777" w:rsidR="000A55DC" w:rsidRDefault="000A55DC" w:rsidP="000A55DC">
      <w:pPr>
        <w:spacing w:after="0" w:line="240" w:lineRule="auto"/>
        <w:jc w:val="both"/>
        <w:rPr>
          <w:rFonts w:ascii="Arial" w:hAnsi="Arial" w:cs="Arial"/>
        </w:rPr>
      </w:pPr>
      <w:r w:rsidRPr="000A55DC">
        <w:rPr>
          <w:rFonts w:ascii="Arial" w:hAnsi="Arial" w:cs="Arial"/>
        </w:rPr>
        <w:t>En primer lugar, la medida genera una pérdida efectiva del valor público ya comprometido, pues los recursos del Sistema General de Regalías, destinados a la construcción de la Avenida Vásquez Cobo, fueron aprobados y apropiados con una finalidad específica: fortalecer la conectividad vial y promover la integración socioeconómica del territorio amazónico. La paralización del proyecto implica el riesgo de que dichos recursos pierdan oportunidad de ejecución o sean reprogramados hacia otros fines, frustrando los objetivos estratégicos para los cuales fueron aprobados y afectando la planeación financiera municipal y regional.</w:t>
      </w:r>
    </w:p>
    <w:p w14:paraId="19CE0B7F" w14:textId="77777777" w:rsidR="00A52539" w:rsidRPr="000A55DC" w:rsidRDefault="00A52539" w:rsidP="000A55DC">
      <w:pPr>
        <w:spacing w:after="0" w:line="240" w:lineRule="auto"/>
        <w:jc w:val="both"/>
        <w:rPr>
          <w:rFonts w:ascii="Arial" w:hAnsi="Arial" w:cs="Arial"/>
        </w:rPr>
      </w:pPr>
    </w:p>
    <w:p w14:paraId="2BE77B45" w14:textId="77777777" w:rsidR="000A55DC" w:rsidRDefault="000A55DC" w:rsidP="000A55DC">
      <w:pPr>
        <w:spacing w:after="0" w:line="240" w:lineRule="auto"/>
        <w:jc w:val="both"/>
        <w:rPr>
          <w:rFonts w:ascii="Arial" w:hAnsi="Arial" w:cs="Arial"/>
        </w:rPr>
      </w:pPr>
      <w:r w:rsidRPr="000A55DC">
        <w:rPr>
          <w:rFonts w:ascii="Arial" w:hAnsi="Arial" w:cs="Arial"/>
        </w:rPr>
        <w:t>En segundo lugar, la decisión impacta directamente a la comunidad beneficiaria, que ve suspendida la materialización de una obra largamente esperada y esencial para mejorar la movilidad urbana, el acceso a los servicios y la calidad de vida. La Avenida Vásquez Cobo constituye un corredor vital para la circulación de personas y mercancías dentro del casco urbano de Leticia, y su modernización representa un compromiso institucional frente a las metas del Plan de Desarrollo Municipal. La interrupción del proyecto, por tanto, socava la confianza ciudadana en la gestión pública y desvirtúa el principio de continuidad de la función administrativa.</w:t>
      </w:r>
    </w:p>
    <w:p w14:paraId="448EC576" w14:textId="77777777" w:rsidR="00A52539" w:rsidRPr="000A55DC" w:rsidRDefault="00A52539" w:rsidP="000A55DC">
      <w:pPr>
        <w:spacing w:after="0" w:line="240" w:lineRule="auto"/>
        <w:jc w:val="both"/>
        <w:rPr>
          <w:rFonts w:ascii="Arial" w:hAnsi="Arial" w:cs="Arial"/>
        </w:rPr>
      </w:pPr>
    </w:p>
    <w:p w14:paraId="6A70DC02" w14:textId="77777777" w:rsidR="000A55DC" w:rsidRDefault="000A55DC" w:rsidP="000A55DC">
      <w:pPr>
        <w:spacing w:after="0" w:line="240" w:lineRule="auto"/>
        <w:jc w:val="both"/>
        <w:rPr>
          <w:rFonts w:ascii="Arial" w:hAnsi="Arial" w:cs="Arial"/>
        </w:rPr>
      </w:pPr>
      <w:r w:rsidRPr="000A55DC">
        <w:rPr>
          <w:rFonts w:ascii="Arial" w:hAnsi="Arial" w:cs="Arial"/>
        </w:rPr>
        <w:t>En tercer término, la suspensión conlleva la paralización de un proyecto estratégico de desarrollo urbano y regional, con efectos colaterales sobre el empleo local, la contratación de bienes y servicios, y la ejecución de obras complementarias. Además, se interrumpe la articulación con otros programas de inversión ya planificados, generando un vacío en la cadena de planeación territorial y debilitando la coherencia de la política pública en materia de infraestructura.</w:t>
      </w:r>
    </w:p>
    <w:p w14:paraId="5EA5D0DB" w14:textId="77777777" w:rsidR="00DB08E6" w:rsidRDefault="00DB08E6" w:rsidP="000A55DC">
      <w:pPr>
        <w:spacing w:after="0" w:line="240" w:lineRule="auto"/>
        <w:jc w:val="both"/>
        <w:rPr>
          <w:rFonts w:ascii="Arial" w:hAnsi="Arial" w:cs="Arial"/>
        </w:rPr>
      </w:pPr>
    </w:p>
    <w:p w14:paraId="3D7DBB9D" w14:textId="60A5DC59" w:rsidR="00DB08E6" w:rsidRDefault="00DB08E6" w:rsidP="000A55DC">
      <w:pPr>
        <w:spacing w:after="0" w:line="240" w:lineRule="auto"/>
        <w:jc w:val="both"/>
        <w:rPr>
          <w:rFonts w:ascii="Arial" w:hAnsi="Arial" w:cs="Arial"/>
        </w:rPr>
      </w:pPr>
      <w:r w:rsidRPr="00DB08E6">
        <w:rPr>
          <w:rFonts w:ascii="Arial" w:hAnsi="Arial" w:cs="Arial"/>
        </w:rPr>
        <w:t>A ello se suma que, mientras el proyecto BPIN 2021000060016 permanezca vigente y bajo la titularidad de la RAP Amazonía</w:t>
      </w:r>
      <w:r>
        <w:rPr>
          <w:rFonts w:ascii="Arial" w:hAnsi="Arial" w:cs="Arial"/>
        </w:rPr>
        <w:t xml:space="preserve"> o de otra entidad</w:t>
      </w:r>
      <w:r w:rsidRPr="00DB08E6">
        <w:rPr>
          <w:rFonts w:ascii="Arial" w:hAnsi="Arial" w:cs="Arial"/>
        </w:rPr>
        <w:t xml:space="preserve">, el Municipio de Leticia no podrá adelantar ningún tipo de intervención sobre el mismo tramo vial, dado que </w:t>
      </w:r>
      <w:r w:rsidRPr="00DB08E6">
        <w:rPr>
          <w:rFonts w:ascii="Arial" w:hAnsi="Arial" w:cs="Arial"/>
        </w:rPr>
        <w:lastRenderedPageBreak/>
        <w:t>ello implicaría una duplicidad de competencias y una eventual invasión del objeto contractual.</w:t>
      </w:r>
    </w:p>
    <w:p w14:paraId="1C2FFDE2" w14:textId="77777777" w:rsidR="0099310C" w:rsidRDefault="0099310C" w:rsidP="000A55DC">
      <w:pPr>
        <w:spacing w:after="0" w:line="240" w:lineRule="auto"/>
        <w:jc w:val="both"/>
        <w:rPr>
          <w:rFonts w:ascii="Arial" w:hAnsi="Arial" w:cs="Arial"/>
        </w:rPr>
      </w:pPr>
    </w:p>
    <w:p w14:paraId="7CB93EA3" w14:textId="77777777" w:rsidR="00C75C4B" w:rsidRPr="00C75C4B" w:rsidRDefault="0099310C" w:rsidP="000A55DC">
      <w:pPr>
        <w:spacing w:after="0" w:line="240" w:lineRule="auto"/>
        <w:jc w:val="both"/>
        <w:rPr>
          <w:rFonts w:ascii="Arial" w:hAnsi="Arial" w:cs="Arial"/>
        </w:rPr>
      </w:pPr>
      <w:r w:rsidRPr="00C75C4B">
        <w:rPr>
          <w:rFonts w:ascii="Arial" w:hAnsi="Arial" w:cs="Arial"/>
        </w:rPr>
        <w:t>Lo anterior resulta especialmente grave desde el punto de vista de la seguridad vial, toda vez que el deterioro progresivo de la Avenida Vásquez Cobo —exacerbado por el tráfico constante y las condiciones climáticas de la región amazónica— genera riesgos reales y actuales para los actores de movilidad, incluyendo peatones, motociclistas, ciclistas y conductores.</w:t>
      </w:r>
    </w:p>
    <w:p w14:paraId="36C274AC" w14:textId="1A319F4E" w:rsidR="0099310C" w:rsidRPr="00C75C4B" w:rsidRDefault="0099310C" w:rsidP="000A55DC">
      <w:pPr>
        <w:spacing w:after="0" w:line="240" w:lineRule="auto"/>
        <w:jc w:val="both"/>
        <w:rPr>
          <w:rFonts w:ascii="Arial" w:hAnsi="Arial" w:cs="Arial"/>
        </w:rPr>
      </w:pPr>
      <w:r w:rsidRPr="00C75C4B">
        <w:rPr>
          <w:rFonts w:ascii="Arial" w:hAnsi="Arial" w:cs="Arial"/>
        </w:rPr>
        <w:br/>
        <w:t>La existencia de tramos con hundimientos, grietas, acumulación de agua y ausencia de drenaje adecuado incrementa la probabilidad de accidentes de tránsito, poniendo en peligro la integridad física de los habitantes y visitantes del municipio.</w:t>
      </w:r>
    </w:p>
    <w:p w14:paraId="34B05C1C" w14:textId="77777777" w:rsidR="00C75C4B" w:rsidRPr="00C75C4B" w:rsidRDefault="00DB08E6" w:rsidP="00C75C4B">
      <w:pPr>
        <w:spacing w:after="0" w:line="240" w:lineRule="auto"/>
        <w:jc w:val="both"/>
        <w:rPr>
          <w:rFonts w:ascii="Arial" w:hAnsi="Arial" w:cs="Arial"/>
        </w:rPr>
      </w:pPr>
      <w:r w:rsidRPr="00C75C4B">
        <w:rPr>
          <w:rFonts w:ascii="Arial" w:hAnsi="Arial" w:cs="Arial"/>
        </w:rPr>
        <w:br/>
      </w:r>
      <w:r w:rsidR="00C75C4B" w:rsidRPr="00C75C4B">
        <w:rPr>
          <w:rFonts w:ascii="Arial" w:hAnsi="Arial" w:cs="Arial"/>
        </w:rPr>
        <w:t>En este contexto, la decisión de suspender el proyecto coloca a la Administración Municipal en una situación de indefensión material, pues pese a ser la autoridad responsable de la movilidad urbana, no puede intervenir el tramo afectado mientras se mantenga vigente el contrato y el BPIN asociado, quedando expuesta a eventuales reclamaciones o demandas por responsabilidad extracontractual del Estado en caso de que ocurran siniestros derivados del mal estado de la vía.</w:t>
      </w:r>
    </w:p>
    <w:p w14:paraId="2B383766" w14:textId="30367842" w:rsidR="00C75C4B" w:rsidRPr="00C75C4B" w:rsidRDefault="00C75C4B" w:rsidP="00C75C4B">
      <w:pPr>
        <w:spacing w:after="0" w:line="240" w:lineRule="auto"/>
        <w:jc w:val="both"/>
        <w:rPr>
          <w:rFonts w:ascii="Arial" w:hAnsi="Arial" w:cs="Arial"/>
        </w:rPr>
      </w:pPr>
      <w:r w:rsidRPr="00C75C4B">
        <w:rPr>
          <w:rFonts w:ascii="Arial" w:hAnsi="Arial" w:cs="Arial"/>
        </w:rPr>
        <w:br/>
        <w:t>Casos similares se han presentado en otras zonas del municipio, donde la omisión en la atención de daños viales ha sido interpretada por la jurisdicción contencioso-administrativa como una falla en el servicio, imponiendo al ente territorial la obligación de indemnizar a los afectados por accidentes previsibles y evitables.</w:t>
      </w:r>
    </w:p>
    <w:p w14:paraId="2EACF9CA" w14:textId="77777777" w:rsidR="00C75C4B" w:rsidRPr="00C75C4B" w:rsidRDefault="00C75C4B" w:rsidP="00C75C4B">
      <w:pPr>
        <w:spacing w:after="0" w:line="240" w:lineRule="auto"/>
        <w:jc w:val="both"/>
        <w:rPr>
          <w:rFonts w:ascii="Arial" w:hAnsi="Arial" w:cs="Arial"/>
        </w:rPr>
      </w:pPr>
    </w:p>
    <w:p w14:paraId="26B21F65" w14:textId="77777777" w:rsidR="00C75C4B" w:rsidRPr="00C75C4B" w:rsidRDefault="00C75C4B" w:rsidP="00C75C4B">
      <w:pPr>
        <w:spacing w:after="0" w:line="240" w:lineRule="auto"/>
        <w:jc w:val="both"/>
        <w:rPr>
          <w:rFonts w:ascii="Arial" w:hAnsi="Arial" w:cs="Arial"/>
        </w:rPr>
      </w:pPr>
      <w:r w:rsidRPr="00C75C4B">
        <w:rPr>
          <w:rFonts w:ascii="Arial" w:hAnsi="Arial" w:cs="Arial"/>
        </w:rPr>
        <w:t>Resulta entonces preocupante y desproporcionado que una decisión administrativa adoptada por una entidad regional, sin competencia directa sobre la gestión vial local, termine generando un riesgo jurídico y patrimonial para el Municipio de Leticia, que carece de medios legales para prevenir o mitigar los daños que puedan sobrevenir mientras el proyecto permanezca suspendido.</w:t>
      </w:r>
    </w:p>
    <w:p w14:paraId="3443C310" w14:textId="1A6B2948" w:rsidR="00A52539" w:rsidRPr="00DB08E6" w:rsidRDefault="00A52539" w:rsidP="000A55DC">
      <w:pPr>
        <w:spacing w:after="0" w:line="240" w:lineRule="auto"/>
        <w:jc w:val="both"/>
        <w:rPr>
          <w:rFonts w:ascii="Arial" w:hAnsi="Arial" w:cs="Arial"/>
        </w:rPr>
      </w:pPr>
    </w:p>
    <w:p w14:paraId="598E1562" w14:textId="77777777" w:rsidR="00DB08E6" w:rsidRPr="00DB08E6" w:rsidRDefault="00DB08E6" w:rsidP="000A55DC">
      <w:pPr>
        <w:spacing w:after="0" w:line="240" w:lineRule="auto"/>
        <w:jc w:val="both"/>
        <w:rPr>
          <w:rFonts w:ascii="Arial" w:hAnsi="Arial" w:cs="Arial"/>
        </w:rPr>
      </w:pPr>
      <w:r w:rsidRPr="00DB08E6">
        <w:rPr>
          <w:rFonts w:ascii="Arial" w:hAnsi="Arial" w:cs="Arial"/>
        </w:rPr>
        <w:t>Desde el punto de vista contractual, la decisión de “no continuidad” repercute directamente sobre los contratos de obra e interventoría vigentes, los cuales no pueden darse por terminados unilateralmente en este escenario, toda vez que no se configura ninguna causal legal de terminación anticipada por parte de la entidad ejecutora.</w:t>
      </w:r>
    </w:p>
    <w:p w14:paraId="7CCB1D49" w14:textId="2EC8769A" w:rsidR="00DB08E6" w:rsidRPr="00DB08E6" w:rsidRDefault="00DB08E6" w:rsidP="000A55DC">
      <w:pPr>
        <w:spacing w:after="0" w:line="240" w:lineRule="auto"/>
        <w:jc w:val="both"/>
        <w:rPr>
          <w:rFonts w:ascii="Arial" w:hAnsi="Arial" w:cs="Arial"/>
        </w:rPr>
      </w:pPr>
      <w:r w:rsidRPr="00DB08E6">
        <w:rPr>
          <w:rFonts w:ascii="Arial" w:hAnsi="Arial" w:cs="Arial"/>
        </w:rPr>
        <w:br/>
        <w:t>En este contexto, la eventual terminación solo podría tramitarse mediante la vía judicial, en un proceso de resolución o liquidación forzosa ante la jurisdicción contencioso-administrativa, lo cual prolongaría el estancamiento del proyecto durante un periodo estimado entre cinco (5) y diez (10) años.</w:t>
      </w:r>
      <w:r>
        <w:rPr>
          <w:rFonts w:ascii="Arial" w:hAnsi="Arial" w:cs="Arial"/>
        </w:rPr>
        <w:t xml:space="preserve"> </w:t>
      </w:r>
      <w:r w:rsidRPr="00DB08E6">
        <w:rPr>
          <w:rFonts w:ascii="Arial" w:hAnsi="Arial" w:cs="Arial"/>
        </w:rPr>
        <w:t>Ello constituye una consecuencia abiertamente desproporcionada frente a las observaciones técnicas planteadas, que eran plenamente subsanables dentro del marco contractual vigente.</w:t>
      </w:r>
    </w:p>
    <w:p w14:paraId="6BC33FE0" w14:textId="77777777" w:rsidR="00DB08E6" w:rsidRPr="00DB08E6" w:rsidRDefault="00DB08E6" w:rsidP="000A55DC">
      <w:pPr>
        <w:spacing w:after="0" w:line="240" w:lineRule="auto"/>
        <w:jc w:val="both"/>
        <w:rPr>
          <w:rFonts w:ascii="Arial" w:hAnsi="Arial" w:cs="Arial"/>
        </w:rPr>
      </w:pPr>
    </w:p>
    <w:p w14:paraId="253B3C58" w14:textId="77777777" w:rsidR="00DB08E6" w:rsidRPr="00DB08E6" w:rsidRDefault="000A55DC" w:rsidP="000A55DC">
      <w:pPr>
        <w:spacing w:after="0" w:line="240" w:lineRule="auto"/>
        <w:jc w:val="both"/>
        <w:rPr>
          <w:rFonts w:ascii="Arial" w:hAnsi="Arial" w:cs="Arial"/>
        </w:rPr>
      </w:pPr>
      <w:r w:rsidRPr="00DB08E6">
        <w:rPr>
          <w:rFonts w:ascii="Arial" w:hAnsi="Arial" w:cs="Arial"/>
        </w:rPr>
        <w:t xml:space="preserve">Desde el punto de vista jurídico, la medida resulta desproporcionada e injustificada, en tanto existen mecanismos administrativos y contractuales suficientes para </w:t>
      </w:r>
      <w:r w:rsidRPr="00DB08E6">
        <w:rPr>
          <w:rFonts w:ascii="Arial" w:hAnsi="Arial" w:cs="Arial"/>
        </w:rPr>
        <w:lastRenderedPageBreak/>
        <w:t xml:space="preserve">corregir, ajustar o mitigar las dificultades técnicas detectadas, sin recurrir a la suspensión o cancelación definitiva del proyecto. </w:t>
      </w:r>
    </w:p>
    <w:p w14:paraId="0A976574" w14:textId="77777777" w:rsidR="00DB08E6" w:rsidRPr="00DB08E6" w:rsidRDefault="00DB08E6" w:rsidP="000A55DC">
      <w:pPr>
        <w:spacing w:after="0" w:line="240" w:lineRule="auto"/>
        <w:jc w:val="both"/>
        <w:rPr>
          <w:rFonts w:ascii="Arial" w:hAnsi="Arial" w:cs="Arial"/>
        </w:rPr>
      </w:pPr>
    </w:p>
    <w:p w14:paraId="06B51FAF" w14:textId="6C86CDF0" w:rsidR="000A55DC" w:rsidRPr="00DB08E6" w:rsidRDefault="000A55DC" w:rsidP="000A55DC">
      <w:pPr>
        <w:spacing w:after="0" w:line="240" w:lineRule="auto"/>
        <w:jc w:val="both"/>
        <w:rPr>
          <w:rFonts w:ascii="Arial" w:hAnsi="Arial" w:cs="Arial"/>
        </w:rPr>
      </w:pPr>
      <w:r w:rsidRPr="00DB08E6">
        <w:rPr>
          <w:rFonts w:ascii="Arial" w:hAnsi="Arial" w:cs="Arial"/>
        </w:rPr>
        <w:t>El principio de eficacia administrativa, consagrado en el artículo 3 del Código de Procedimiento Administrativo y de lo Contencioso Administrativo (Ley 1437 de 2011), impone a todas las autoridades el deber de adoptar las decisiones más adecuadas para lograr los fines de la función pública y asegurar el cumplimiento material de los objetivos institucionales.</w:t>
      </w:r>
    </w:p>
    <w:p w14:paraId="41544968" w14:textId="77777777" w:rsidR="00A52539" w:rsidRPr="00DB08E6" w:rsidRDefault="00A52539" w:rsidP="000A55DC">
      <w:pPr>
        <w:spacing w:after="0" w:line="240" w:lineRule="auto"/>
        <w:jc w:val="both"/>
        <w:rPr>
          <w:rFonts w:ascii="Arial" w:hAnsi="Arial" w:cs="Arial"/>
        </w:rPr>
      </w:pPr>
    </w:p>
    <w:p w14:paraId="6D8D1FB7" w14:textId="77777777" w:rsidR="000A55DC" w:rsidRPr="00DB08E6" w:rsidRDefault="000A55DC" w:rsidP="000A55DC">
      <w:pPr>
        <w:spacing w:after="0" w:line="240" w:lineRule="auto"/>
        <w:jc w:val="both"/>
        <w:rPr>
          <w:rFonts w:ascii="Arial" w:hAnsi="Arial" w:cs="Arial"/>
        </w:rPr>
      </w:pPr>
      <w:r w:rsidRPr="00DB08E6">
        <w:rPr>
          <w:rFonts w:ascii="Arial" w:hAnsi="Arial" w:cs="Arial"/>
        </w:rPr>
        <w:t>En consecuencia, ante la existencia de observaciones técnicas subsanables, la RAP Amazonía debió optar por medidas correctivas y de gestión del riesgo, tales como la reformulación de algunos componentes, la reducción o priorización de cantidades de obra o la programación de mesas técnicas conjuntas con el Municipio, en lugar de adoptar una decisión que frustra la ejecución de una inversión estratégica y socialmente necesaria.</w:t>
      </w:r>
    </w:p>
    <w:p w14:paraId="43CDF236" w14:textId="77777777" w:rsidR="00296EDF" w:rsidRPr="00DB08E6" w:rsidRDefault="00296EDF" w:rsidP="000A55DC">
      <w:pPr>
        <w:spacing w:after="0" w:line="240" w:lineRule="auto"/>
        <w:jc w:val="both"/>
        <w:rPr>
          <w:rFonts w:ascii="Arial" w:hAnsi="Arial" w:cs="Arial"/>
        </w:rPr>
      </w:pPr>
    </w:p>
    <w:p w14:paraId="0A35060F" w14:textId="77777777" w:rsidR="00296EDF" w:rsidRPr="00DB08E6" w:rsidRDefault="00296EDF" w:rsidP="00296EDF">
      <w:pPr>
        <w:spacing w:after="0" w:line="240" w:lineRule="auto"/>
        <w:jc w:val="both"/>
        <w:rPr>
          <w:rFonts w:ascii="Arial" w:hAnsi="Arial" w:cs="Arial"/>
        </w:rPr>
      </w:pPr>
      <w:r w:rsidRPr="00296EDF">
        <w:rPr>
          <w:rFonts w:ascii="Arial" w:hAnsi="Arial" w:cs="Arial"/>
        </w:rPr>
        <w:t>La doctrina administrativa ha reconocido que los contratos estatales son, por naturaleza, negocios jurídicos incompletos, susceptibles de ajustes razonables que permitan cumplir sus fines y evitar la paralización del servicio público.</w:t>
      </w:r>
    </w:p>
    <w:p w14:paraId="3E202D50" w14:textId="0F820636" w:rsidR="00296EDF" w:rsidRPr="00296EDF" w:rsidRDefault="00296EDF" w:rsidP="00296EDF">
      <w:pPr>
        <w:spacing w:after="0" w:line="240" w:lineRule="auto"/>
        <w:jc w:val="both"/>
        <w:rPr>
          <w:rFonts w:ascii="Arial" w:hAnsi="Arial" w:cs="Arial"/>
        </w:rPr>
      </w:pPr>
      <w:r w:rsidRPr="00296EDF">
        <w:rPr>
          <w:rFonts w:ascii="Arial" w:hAnsi="Arial" w:cs="Arial"/>
        </w:rPr>
        <w:br/>
        <w:t>Como lo precisó Colombia Compra Eficiente en los Conceptos C-960 de 2024 y C-384 de 2025, la modificación del contrato es viable siempre que se funde en una causa real y cierta, orientada al interés público y dentro de los límites legales, sin que ello implique desconocer el principio de planeación</w:t>
      </w:r>
    </w:p>
    <w:p w14:paraId="0FAD9F48" w14:textId="77777777" w:rsidR="00296EDF" w:rsidRPr="00296EDF" w:rsidRDefault="00296EDF" w:rsidP="00296EDF">
      <w:pPr>
        <w:spacing w:after="0" w:line="240" w:lineRule="auto"/>
        <w:jc w:val="both"/>
        <w:rPr>
          <w:rFonts w:ascii="Arial" w:hAnsi="Arial" w:cs="Arial"/>
        </w:rPr>
      </w:pPr>
      <w:r w:rsidRPr="00296EDF">
        <w:rPr>
          <w:rFonts w:ascii="Arial" w:hAnsi="Arial" w:cs="Arial"/>
        </w:rPr>
        <w:t>.</w:t>
      </w:r>
    </w:p>
    <w:p w14:paraId="12C453BE" w14:textId="77777777" w:rsidR="00296EDF" w:rsidRPr="00296EDF" w:rsidRDefault="00296EDF" w:rsidP="00296EDF">
      <w:pPr>
        <w:spacing w:after="0" w:line="240" w:lineRule="auto"/>
        <w:jc w:val="both"/>
        <w:rPr>
          <w:rFonts w:ascii="Arial" w:hAnsi="Arial" w:cs="Arial"/>
        </w:rPr>
      </w:pPr>
      <w:r w:rsidRPr="00296EDF">
        <w:rPr>
          <w:rFonts w:ascii="Arial" w:hAnsi="Arial" w:cs="Arial"/>
        </w:rPr>
        <w:t>En consecuencia, frente a contingencias técnicas sobrevinientes o condiciones ambientales no previstas, el deber de la entidad ejecutora no era cancelar el proyecto, sino adoptar medidas correctivas dentro del marco del contrato vigente, en aplicación de los principios de eficacia, continuidad y proporcionalidad.</w:t>
      </w:r>
    </w:p>
    <w:p w14:paraId="62A95703" w14:textId="77777777" w:rsidR="00296EDF" w:rsidRPr="00DB08E6" w:rsidRDefault="00296EDF" w:rsidP="000A55DC">
      <w:pPr>
        <w:spacing w:after="0" w:line="240" w:lineRule="auto"/>
        <w:jc w:val="both"/>
        <w:rPr>
          <w:rFonts w:ascii="Arial" w:hAnsi="Arial" w:cs="Arial"/>
        </w:rPr>
      </w:pPr>
    </w:p>
    <w:p w14:paraId="3966A769" w14:textId="77777777" w:rsidR="00DB08E6" w:rsidRPr="00DB08E6" w:rsidRDefault="00DB08E6" w:rsidP="000A55DC">
      <w:pPr>
        <w:spacing w:after="0" w:line="240" w:lineRule="auto"/>
        <w:jc w:val="both"/>
        <w:rPr>
          <w:rFonts w:ascii="Arial" w:hAnsi="Arial" w:cs="Arial"/>
        </w:rPr>
      </w:pPr>
      <w:r w:rsidRPr="00DB08E6">
        <w:rPr>
          <w:rFonts w:ascii="Arial" w:hAnsi="Arial" w:cs="Arial"/>
        </w:rPr>
        <w:t>Por tanto, la resolución impugnada no se ajusta al principio de eficacia ni al de proporcionalidad, pues sacrifica el interés público y la continuidad de una obra prioritaria frente a dificultades que, conforme a la experiencia técnica y contractual, podían ser superadas mediante mecanismos ordinarios de ajuste, sin afectar la validez ni la finalidad del proyecto.</w:t>
      </w:r>
    </w:p>
    <w:p w14:paraId="20ED0251" w14:textId="4F66E4DC" w:rsidR="00944730" w:rsidRPr="00DB08E6" w:rsidRDefault="00DB08E6" w:rsidP="000A55DC">
      <w:pPr>
        <w:spacing w:after="0" w:line="240" w:lineRule="auto"/>
        <w:jc w:val="both"/>
        <w:rPr>
          <w:rFonts w:ascii="Arial" w:hAnsi="Arial" w:cs="Arial"/>
        </w:rPr>
      </w:pPr>
      <w:r w:rsidRPr="00DB08E6">
        <w:rPr>
          <w:rFonts w:ascii="Arial" w:hAnsi="Arial" w:cs="Arial"/>
        </w:rPr>
        <w:br/>
        <w:t>La decisión adoptada, en cambio, bloquea la gestión territorial del Municipio, compromete los contratos vigentes y posterga indefinidamente el desarrollo urbano de Leticia, configurando una afectación grave, desproporcionada e injustificada al interés general.</w:t>
      </w:r>
    </w:p>
    <w:p w14:paraId="2557C393" w14:textId="77777777" w:rsidR="00DB08E6" w:rsidRDefault="00DB08E6" w:rsidP="000A55DC">
      <w:pPr>
        <w:spacing w:after="0" w:line="240" w:lineRule="auto"/>
        <w:jc w:val="both"/>
        <w:rPr>
          <w:rFonts w:ascii="Arial" w:hAnsi="Arial" w:cs="Arial"/>
        </w:rPr>
      </w:pPr>
    </w:p>
    <w:p w14:paraId="05E30328" w14:textId="418BE5FA" w:rsidR="00944730" w:rsidRPr="00296EDF" w:rsidRDefault="00944730" w:rsidP="00296EDF">
      <w:pPr>
        <w:pStyle w:val="Prrafodelista"/>
        <w:numPr>
          <w:ilvl w:val="0"/>
          <w:numId w:val="11"/>
        </w:numPr>
        <w:spacing w:after="0" w:line="240" w:lineRule="auto"/>
        <w:jc w:val="both"/>
        <w:rPr>
          <w:rFonts w:ascii="Arial" w:hAnsi="Arial" w:cs="Arial"/>
          <w:b/>
          <w:bCs/>
        </w:rPr>
      </w:pPr>
      <w:r w:rsidRPr="00296EDF">
        <w:rPr>
          <w:rFonts w:ascii="Arial" w:hAnsi="Arial" w:cs="Arial"/>
          <w:b/>
          <w:bCs/>
        </w:rPr>
        <w:t>Refutación de los argumentos técnicos, financieros y ambientales contenidos en los conceptos asesores de la RAP Amazonía</w:t>
      </w:r>
    </w:p>
    <w:p w14:paraId="4AA1F048" w14:textId="77777777" w:rsidR="00296EDF" w:rsidRPr="00296EDF" w:rsidRDefault="00296EDF" w:rsidP="00296EDF">
      <w:pPr>
        <w:pStyle w:val="Prrafodelista"/>
        <w:spacing w:after="0" w:line="240" w:lineRule="auto"/>
        <w:jc w:val="both"/>
        <w:rPr>
          <w:rFonts w:ascii="Arial" w:hAnsi="Arial" w:cs="Arial"/>
          <w:b/>
          <w:bCs/>
        </w:rPr>
      </w:pPr>
    </w:p>
    <w:p w14:paraId="70FCD7FD" w14:textId="77777777" w:rsidR="00944730" w:rsidRDefault="00944730" w:rsidP="00944730">
      <w:pPr>
        <w:spacing w:after="0" w:line="240" w:lineRule="auto"/>
        <w:jc w:val="both"/>
        <w:rPr>
          <w:rFonts w:ascii="Arial" w:hAnsi="Arial" w:cs="Arial"/>
          <w:b/>
          <w:bCs/>
        </w:rPr>
      </w:pPr>
      <w:r w:rsidRPr="00944730">
        <w:rPr>
          <w:rFonts w:ascii="Arial" w:hAnsi="Arial" w:cs="Arial"/>
          <w:b/>
          <w:bCs/>
        </w:rPr>
        <w:t>5.1. Cuestionamiento a la metodología empleada y a la imparcialidad del análisis técnico</w:t>
      </w:r>
    </w:p>
    <w:p w14:paraId="6A810042" w14:textId="77777777" w:rsidR="00296EDF" w:rsidRPr="00944730" w:rsidRDefault="00296EDF" w:rsidP="00944730">
      <w:pPr>
        <w:spacing w:after="0" w:line="240" w:lineRule="auto"/>
        <w:jc w:val="both"/>
        <w:rPr>
          <w:rFonts w:ascii="Arial" w:hAnsi="Arial" w:cs="Arial"/>
          <w:b/>
          <w:bCs/>
        </w:rPr>
      </w:pPr>
    </w:p>
    <w:p w14:paraId="098CF242" w14:textId="77777777" w:rsidR="00296EDF" w:rsidRPr="00AB0506" w:rsidRDefault="00944730" w:rsidP="00944730">
      <w:pPr>
        <w:spacing w:after="0" w:line="240" w:lineRule="auto"/>
        <w:jc w:val="both"/>
        <w:rPr>
          <w:rFonts w:ascii="Arial" w:hAnsi="Arial" w:cs="Arial"/>
        </w:rPr>
      </w:pPr>
      <w:r w:rsidRPr="00AB0506">
        <w:rPr>
          <w:rFonts w:ascii="Arial" w:hAnsi="Arial" w:cs="Arial"/>
        </w:rPr>
        <w:lastRenderedPageBreak/>
        <w:t>Si bien la asesora Lady Cardona Lozada expone una metodología en cuatro fases —revisión normativa, análisis documental, evaluación técnico-jurídico-financiera y formulación de conclusiones—, dicha descripción responde a una estructura formal, no a una metodología de verificación técnica con rigor pericial ni soporte en trabajo de campo independiente.</w:t>
      </w:r>
    </w:p>
    <w:p w14:paraId="2EF70989" w14:textId="6C75016C" w:rsidR="00944730" w:rsidRPr="00AB0506" w:rsidRDefault="00944730" w:rsidP="00944730">
      <w:pPr>
        <w:spacing w:after="0" w:line="240" w:lineRule="auto"/>
        <w:jc w:val="both"/>
        <w:rPr>
          <w:rFonts w:ascii="Arial" w:hAnsi="Arial" w:cs="Arial"/>
        </w:rPr>
      </w:pPr>
      <w:r w:rsidRPr="00AB0506">
        <w:rPr>
          <w:rFonts w:ascii="Arial" w:hAnsi="Arial" w:cs="Arial"/>
        </w:rPr>
        <w:br/>
        <w:t>La revisión se apoya casi exclusivamente en información documental ya producida por los mismos actores intervinientes (balances, fichas, conceptos e informes de interventoría), sin evidencia de contrast</w:t>
      </w:r>
      <w:r w:rsidR="00DB08E6">
        <w:rPr>
          <w:rFonts w:ascii="Arial" w:hAnsi="Arial" w:cs="Arial"/>
        </w:rPr>
        <w:t>e</w:t>
      </w:r>
      <w:r w:rsidRPr="00AB0506">
        <w:rPr>
          <w:rFonts w:ascii="Arial" w:hAnsi="Arial" w:cs="Arial"/>
        </w:rPr>
        <w:t xml:space="preserve"> direct</w:t>
      </w:r>
      <w:r w:rsidR="00DB08E6">
        <w:rPr>
          <w:rFonts w:ascii="Arial" w:hAnsi="Arial" w:cs="Arial"/>
        </w:rPr>
        <w:t>o</w:t>
      </w:r>
      <w:r w:rsidRPr="00AB0506">
        <w:rPr>
          <w:rFonts w:ascii="Arial" w:hAnsi="Arial" w:cs="Arial"/>
        </w:rPr>
        <w:t xml:space="preserve"> mediante levantamientos topográficos, estudios hidráulicos o inspecciones en sitio que permitan sustentar empíricamente las conclusiones que se formulan.</w:t>
      </w:r>
    </w:p>
    <w:p w14:paraId="654C057E" w14:textId="77777777" w:rsidR="002B6AD8" w:rsidRPr="00AB0506" w:rsidRDefault="002B6AD8" w:rsidP="00944730">
      <w:pPr>
        <w:spacing w:after="0" w:line="240" w:lineRule="auto"/>
        <w:jc w:val="both"/>
        <w:rPr>
          <w:rFonts w:ascii="Arial" w:hAnsi="Arial" w:cs="Arial"/>
        </w:rPr>
      </w:pPr>
    </w:p>
    <w:p w14:paraId="563593BA" w14:textId="30059B57" w:rsidR="00944730" w:rsidRPr="00AB0506" w:rsidRDefault="00944730" w:rsidP="00944730">
      <w:pPr>
        <w:spacing w:after="0" w:line="240" w:lineRule="auto"/>
        <w:jc w:val="both"/>
        <w:rPr>
          <w:rFonts w:ascii="Arial" w:hAnsi="Arial" w:cs="Arial"/>
        </w:rPr>
      </w:pPr>
      <w:r w:rsidRPr="00AB0506">
        <w:rPr>
          <w:rFonts w:ascii="Arial" w:hAnsi="Arial" w:cs="Arial"/>
        </w:rPr>
        <w:t>En otras palabras, el documento no constituye un dictamen técnico autónomo, sino un análisis sustentado en inferencias y apreciaciones, carente de una validación en terreno. Por tanto, su fuerza probatoria es meramente indicativa, no concluyente, y no puede fundamentar una decisión administrativa de la magnitud adoptada.</w:t>
      </w:r>
    </w:p>
    <w:p w14:paraId="027F7471" w14:textId="12FB421A" w:rsidR="002B6AD8" w:rsidRPr="002B6AD8" w:rsidRDefault="002B6AD8" w:rsidP="002B6AD8">
      <w:pPr>
        <w:spacing w:after="0" w:line="240" w:lineRule="auto"/>
        <w:jc w:val="both"/>
        <w:rPr>
          <w:rFonts w:ascii="Arial" w:hAnsi="Arial" w:cs="Arial"/>
        </w:rPr>
      </w:pPr>
    </w:p>
    <w:p w14:paraId="6EA2C639" w14:textId="77777777" w:rsidR="002B6AD8" w:rsidRPr="002B6AD8" w:rsidRDefault="002B6AD8" w:rsidP="002B6AD8">
      <w:pPr>
        <w:spacing w:after="0" w:line="240" w:lineRule="auto"/>
        <w:jc w:val="both"/>
        <w:rPr>
          <w:rFonts w:ascii="Arial" w:hAnsi="Arial" w:cs="Arial"/>
        </w:rPr>
      </w:pPr>
      <w:r w:rsidRPr="002B6AD8">
        <w:rPr>
          <w:rFonts w:ascii="Arial" w:hAnsi="Arial" w:cs="Arial"/>
        </w:rPr>
        <w:t>Por tanto, el aumento presupuestal no representa irregularidad alguna ni configura un “cambio de alcance”, sino una medida legítima para garantizar la ejecución técnica del proyecto bajo los principios de planeación y eficiencia.</w:t>
      </w:r>
    </w:p>
    <w:p w14:paraId="22D71350" w14:textId="77777777" w:rsidR="002B6AD8" w:rsidRPr="00944730" w:rsidRDefault="002B6AD8" w:rsidP="00944730">
      <w:pPr>
        <w:spacing w:after="0" w:line="240" w:lineRule="auto"/>
        <w:jc w:val="both"/>
        <w:rPr>
          <w:rFonts w:ascii="Arial" w:hAnsi="Arial" w:cs="Arial"/>
        </w:rPr>
      </w:pPr>
    </w:p>
    <w:p w14:paraId="607120EF" w14:textId="71F3C71B" w:rsidR="00944730" w:rsidRPr="00944730" w:rsidRDefault="00944730" w:rsidP="00944730">
      <w:pPr>
        <w:spacing w:after="0" w:line="240" w:lineRule="auto"/>
        <w:jc w:val="both"/>
        <w:rPr>
          <w:rFonts w:ascii="Arial" w:hAnsi="Arial" w:cs="Arial"/>
        </w:rPr>
      </w:pPr>
    </w:p>
    <w:p w14:paraId="6F094CE9" w14:textId="77777777" w:rsidR="00944730" w:rsidRDefault="00944730" w:rsidP="00944730">
      <w:pPr>
        <w:spacing w:after="0" w:line="240" w:lineRule="auto"/>
        <w:jc w:val="both"/>
        <w:rPr>
          <w:rFonts w:ascii="Arial" w:hAnsi="Arial" w:cs="Arial"/>
          <w:b/>
          <w:bCs/>
        </w:rPr>
      </w:pPr>
      <w:r w:rsidRPr="00944730">
        <w:rPr>
          <w:rFonts w:ascii="Arial" w:hAnsi="Arial" w:cs="Arial"/>
          <w:b/>
          <w:bCs/>
        </w:rPr>
        <w:t>5.2. Sobre la supuesta “superposición de 234,92 metros ya pavimentados”</w:t>
      </w:r>
    </w:p>
    <w:p w14:paraId="5F622D90" w14:textId="77777777" w:rsidR="00296EDF" w:rsidRPr="00944730" w:rsidRDefault="00296EDF" w:rsidP="00944730">
      <w:pPr>
        <w:spacing w:after="0" w:line="240" w:lineRule="auto"/>
        <w:jc w:val="both"/>
        <w:rPr>
          <w:rFonts w:ascii="Arial" w:hAnsi="Arial" w:cs="Arial"/>
          <w:b/>
          <w:bCs/>
        </w:rPr>
      </w:pPr>
    </w:p>
    <w:p w14:paraId="06C682DE" w14:textId="77777777" w:rsidR="00296EDF" w:rsidRPr="00AB0506" w:rsidRDefault="00944730" w:rsidP="00944730">
      <w:pPr>
        <w:spacing w:after="0" w:line="240" w:lineRule="auto"/>
        <w:jc w:val="both"/>
        <w:rPr>
          <w:rFonts w:ascii="Arial" w:hAnsi="Arial" w:cs="Arial"/>
        </w:rPr>
      </w:pPr>
      <w:r w:rsidRPr="00AB0506">
        <w:rPr>
          <w:rFonts w:ascii="Arial" w:hAnsi="Arial" w:cs="Arial"/>
        </w:rPr>
        <w:t>El señalamiento según el cual existiría una superposición de 234,92 metros ya pavimentados no afecta la integralidad ni la esencia del objeto contractual, ni representa un error estructural de planeación.</w:t>
      </w:r>
    </w:p>
    <w:p w14:paraId="2BBE238C" w14:textId="77777777" w:rsidR="00296EDF" w:rsidRPr="00AB0506" w:rsidRDefault="00944730" w:rsidP="00944730">
      <w:pPr>
        <w:spacing w:after="0" w:line="240" w:lineRule="auto"/>
        <w:jc w:val="both"/>
        <w:rPr>
          <w:rFonts w:ascii="Arial" w:hAnsi="Arial" w:cs="Arial"/>
        </w:rPr>
      </w:pPr>
      <w:r w:rsidRPr="00AB0506">
        <w:rPr>
          <w:rFonts w:ascii="Arial" w:hAnsi="Arial" w:cs="Arial"/>
        </w:rPr>
        <w:br/>
        <w:t>Tal como lo precisó la interventoría en el Concepto Técnico CVU-062-2025, la existencia de un tramo pavimentado no impide la continuidad ni la funcionalidad del proyecto, toda vez que el diseño contempla su integración con las obras nuevas mediante tratamiento de superficie y nivelación estructural.</w:t>
      </w:r>
    </w:p>
    <w:p w14:paraId="504F4C1B" w14:textId="77777777" w:rsidR="00296EDF" w:rsidRPr="00AB0506" w:rsidRDefault="00944730" w:rsidP="00944730">
      <w:pPr>
        <w:spacing w:after="0" w:line="240" w:lineRule="auto"/>
        <w:jc w:val="both"/>
        <w:rPr>
          <w:rFonts w:ascii="Arial" w:hAnsi="Arial" w:cs="Arial"/>
        </w:rPr>
      </w:pPr>
      <w:r w:rsidRPr="00AB0506">
        <w:rPr>
          <w:rFonts w:ascii="Arial" w:hAnsi="Arial" w:cs="Arial"/>
        </w:rPr>
        <w:br/>
        <w:t>La vía en cuestión no se reitera sobre una obra independiente, sino que completa el mismo eje vial, mejorando su capacidad estructural y condiciones de drenaje.</w:t>
      </w:r>
    </w:p>
    <w:p w14:paraId="52D8698D" w14:textId="386686D4" w:rsidR="00944730" w:rsidRPr="00AB0506" w:rsidRDefault="00944730" w:rsidP="00944730">
      <w:pPr>
        <w:spacing w:after="0" w:line="240" w:lineRule="auto"/>
        <w:jc w:val="both"/>
        <w:rPr>
          <w:rFonts w:ascii="Arial" w:hAnsi="Arial" w:cs="Arial"/>
        </w:rPr>
      </w:pPr>
      <w:r w:rsidRPr="00AB0506">
        <w:rPr>
          <w:rFonts w:ascii="Arial" w:hAnsi="Arial" w:cs="Arial"/>
        </w:rPr>
        <w:br/>
        <w:t>La reducción de la longitud efectiva del tramo no altera el objeto ni configura un cambio de alcance: el producto entregable sigue siendo la Avenida Vásquez Cobo rehabilitada y funcional en toda su extensión proyectada.</w:t>
      </w:r>
    </w:p>
    <w:p w14:paraId="3F7A70EB" w14:textId="77777777" w:rsidR="00296EDF" w:rsidRPr="00AB0506" w:rsidRDefault="00296EDF" w:rsidP="00944730">
      <w:pPr>
        <w:spacing w:after="0" w:line="240" w:lineRule="auto"/>
        <w:jc w:val="both"/>
        <w:rPr>
          <w:rFonts w:ascii="Arial" w:hAnsi="Arial" w:cs="Arial"/>
        </w:rPr>
      </w:pPr>
    </w:p>
    <w:p w14:paraId="53561712" w14:textId="77777777" w:rsidR="00944730" w:rsidRPr="00AB0506" w:rsidRDefault="00944730" w:rsidP="00944730">
      <w:pPr>
        <w:spacing w:after="0" w:line="240" w:lineRule="auto"/>
        <w:jc w:val="both"/>
        <w:rPr>
          <w:rFonts w:ascii="Arial" w:hAnsi="Arial" w:cs="Arial"/>
        </w:rPr>
      </w:pPr>
      <w:r w:rsidRPr="00AB0506">
        <w:rPr>
          <w:rFonts w:ascii="Arial" w:hAnsi="Arial" w:cs="Arial"/>
        </w:rPr>
        <w:t>Sostener lo contrario equivale a asumir que cualquier variación de longitud por empalme o coincidencia parcial con pavimentos previos constituye “un nuevo objeto”, lo cual carece de fundamento jurídico y técnico. En la práctica, los proyectos viales urbanos frecuentemente incluyen tramos preexistentes sujetos a rehabilitación o mejoramiento, sin que ello implique pérdida de viabilidad o desnaturalización contractual.</w:t>
      </w:r>
    </w:p>
    <w:p w14:paraId="28BFE701" w14:textId="574AB1D9" w:rsidR="00944730" w:rsidRPr="00AB0506" w:rsidRDefault="00944730" w:rsidP="00944730">
      <w:pPr>
        <w:spacing w:after="0" w:line="240" w:lineRule="auto"/>
        <w:jc w:val="both"/>
        <w:rPr>
          <w:rFonts w:ascii="Arial" w:hAnsi="Arial" w:cs="Arial"/>
        </w:rPr>
      </w:pPr>
    </w:p>
    <w:p w14:paraId="650DE68E" w14:textId="77777777" w:rsidR="00944730" w:rsidRDefault="00944730" w:rsidP="00944730">
      <w:pPr>
        <w:spacing w:after="0" w:line="240" w:lineRule="auto"/>
        <w:jc w:val="both"/>
        <w:rPr>
          <w:rFonts w:ascii="Arial" w:hAnsi="Arial" w:cs="Arial"/>
          <w:b/>
          <w:bCs/>
        </w:rPr>
      </w:pPr>
      <w:r w:rsidRPr="00944730">
        <w:rPr>
          <w:rFonts w:ascii="Arial" w:hAnsi="Arial" w:cs="Arial"/>
          <w:b/>
          <w:bCs/>
        </w:rPr>
        <w:lastRenderedPageBreak/>
        <w:t>5.3. Sobre la presunta omisión de obras hidráulicas en el humedal Simón Bolívar</w:t>
      </w:r>
    </w:p>
    <w:p w14:paraId="771252AF" w14:textId="77777777" w:rsidR="00296EDF" w:rsidRPr="00944730" w:rsidRDefault="00296EDF" w:rsidP="00944730">
      <w:pPr>
        <w:spacing w:after="0" w:line="240" w:lineRule="auto"/>
        <w:jc w:val="both"/>
        <w:rPr>
          <w:rFonts w:ascii="Arial" w:hAnsi="Arial" w:cs="Arial"/>
          <w:b/>
          <w:bCs/>
        </w:rPr>
      </w:pPr>
    </w:p>
    <w:p w14:paraId="7B0C4F36" w14:textId="77777777" w:rsidR="00296EDF" w:rsidRPr="00AB0506" w:rsidRDefault="00944730" w:rsidP="00944730">
      <w:pPr>
        <w:spacing w:after="0" w:line="240" w:lineRule="auto"/>
        <w:jc w:val="both"/>
        <w:rPr>
          <w:rFonts w:ascii="Arial" w:hAnsi="Arial" w:cs="Arial"/>
        </w:rPr>
      </w:pPr>
      <w:r w:rsidRPr="00AB0506">
        <w:rPr>
          <w:rFonts w:ascii="Arial" w:hAnsi="Arial" w:cs="Arial"/>
        </w:rPr>
        <w:t>El argumento según el cual la ausencia de un “box-</w:t>
      </w:r>
      <w:proofErr w:type="spellStart"/>
      <w:r w:rsidRPr="00AB0506">
        <w:rPr>
          <w:rFonts w:ascii="Arial" w:hAnsi="Arial" w:cs="Arial"/>
        </w:rPr>
        <w:t>culvert</w:t>
      </w:r>
      <w:proofErr w:type="spellEnd"/>
      <w:r w:rsidRPr="00AB0506">
        <w:rPr>
          <w:rFonts w:ascii="Arial" w:hAnsi="Arial" w:cs="Arial"/>
        </w:rPr>
        <w:t>” o de pasos de fauna convierte el proyecto en inviable confunde la categoría de medidas ambientales complementarias con la esencia del objeto contractual.</w:t>
      </w:r>
    </w:p>
    <w:p w14:paraId="6152C394" w14:textId="3B4A3DCA" w:rsidR="00944730" w:rsidRPr="00AB0506" w:rsidRDefault="00944730" w:rsidP="00944730">
      <w:pPr>
        <w:spacing w:after="0" w:line="240" w:lineRule="auto"/>
        <w:jc w:val="both"/>
        <w:rPr>
          <w:rFonts w:ascii="Arial" w:hAnsi="Arial" w:cs="Arial"/>
        </w:rPr>
      </w:pPr>
      <w:r w:rsidRPr="00AB0506">
        <w:rPr>
          <w:rFonts w:ascii="Arial" w:hAnsi="Arial" w:cs="Arial"/>
        </w:rPr>
        <w:br/>
        <w:t>El proyecto aprobado tiene por objeto la construcción y mejoramiento de una vía urbana, no la intervención integral del sistema hídrico.</w:t>
      </w:r>
      <w:r w:rsidR="00843589">
        <w:rPr>
          <w:rFonts w:ascii="Arial" w:hAnsi="Arial" w:cs="Arial"/>
        </w:rPr>
        <w:t xml:space="preserve"> </w:t>
      </w:r>
      <w:r w:rsidRPr="00AB0506">
        <w:rPr>
          <w:rFonts w:ascii="Arial" w:hAnsi="Arial" w:cs="Arial"/>
        </w:rPr>
        <w:t>Las medidas de manejo ambiental, como drenajes o estructuras de conectividad ecológica, son componentes accesorios y ajustables en la fase de ejecución, siempre que se respeten los permisos y determinantes ambientales correspondientes.</w:t>
      </w:r>
    </w:p>
    <w:p w14:paraId="36D250E6" w14:textId="77777777" w:rsidR="00296EDF" w:rsidRPr="00AB0506" w:rsidRDefault="00296EDF" w:rsidP="00944730">
      <w:pPr>
        <w:spacing w:after="0" w:line="240" w:lineRule="auto"/>
        <w:jc w:val="both"/>
        <w:rPr>
          <w:rFonts w:ascii="Arial" w:hAnsi="Arial" w:cs="Arial"/>
        </w:rPr>
      </w:pPr>
    </w:p>
    <w:p w14:paraId="7DA37DFA" w14:textId="77777777" w:rsidR="00296EDF" w:rsidRPr="00AB0506" w:rsidRDefault="00944730" w:rsidP="00944730">
      <w:pPr>
        <w:spacing w:after="0" w:line="240" w:lineRule="auto"/>
        <w:jc w:val="both"/>
        <w:rPr>
          <w:rFonts w:ascii="Arial" w:hAnsi="Arial" w:cs="Arial"/>
        </w:rPr>
      </w:pPr>
      <w:r w:rsidRPr="00AB0506">
        <w:rPr>
          <w:rFonts w:ascii="Arial" w:hAnsi="Arial" w:cs="Arial"/>
        </w:rPr>
        <w:t>En consecuencia, la eventual necesidad de incorporar obras de drenaje o pasos de fauna no implica un cambio de alcance, sino una adaptación técnica compatible con la finalidad vial del contrato, plenamente admisible dentro de las reglas de gestión del riesgo y del principio de sostenibilidad ambiental.</w:t>
      </w:r>
    </w:p>
    <w:p w14:paraId="3F25F77B" w14:textId="3D76478B" w:rsidR="00944730" w:rsidRPr="00AB0506" w:rsidRDefault="00944730" w:rsidP="00944730">
      <w:pPr>
        <w:spacing w:after="0" w:line="240" w:lineRule="auto"/>
        <w:jc w:val="both"/>
        <w:rPr>
          <w:rFonts w:ascii="Arial" w:hAnsi="Arial" w:cs="Arial"/>
        </w:rPr>
      </w:pPr>
      <w:r w:rsidRPr="00AB0506">
        <w:rPr>
          <w:rFonts w:ascii="Arial" w:hAnsi="Arial" w:cs="Arial"/>
        </w:rPr>
        <w:br/>
        <w:t>La propia legislación (Ley 99 de 1993 y Decreto 1076 de 2015) no exige reformular un proyecto cada vez que se identifican medidas de mitigación no previstas, sino que establece su incorporación progresiva mediante las herramientas de gestión ambiental (PMA, permisos de ocupación de cauce, autorizaciones complementarias).</w:t>
      </w:r>
    </w:p>
    <w:p w14:paraId="15FAF49F" w14:textId="77777777" w:rsidR="00296EDF" w:rsidRPr="00AB0506" w:rsidRDefault="00296EDF" w:rsidP="00944730">
      <w:pPr>
        <w:spacing w:after="0" w:line="240" w:lineRule="auto"/>
        <w:jc w:val="both"/>
        <w:rPr>
          <w:rFonts w:ascii="Arial" w:hAnsi="Arial" w:cs="Arial"/>
        </w:rPr>
      </w:pPr>
    </w:p>
    <w:p w14:paraId="795020C9" w14:textId="77777777" w:rsidR="00296EDF" w:rsidRPr="00AB0506" w:rsidRDefault="00944730" w:rsidP="00944730">
      <w:pPr>
        <w:spacing w:after="0" w:line="240" w:lineRule="auto"/>
        <w:jc w:val="both"/>
        <w:rPr>
          <w:rFonts w:ascii="Arial" w:hAnsi="Arial" w:cs="Arial"/>
        </w:rPr>
      </w:pPr>
      <w:r w:rsidRPr="00AB0506">
        <w:rPr>
          <w:rFonts w:ascii="Arial" w:hAnsi="Arial" w:cs="Arial"/>
        </w:rPr>
        <w:t>Además, la RAP omite reconocer que tales obras pueden ejecutarse dentro del mismo trazado y con cargo a los recursos disponibles, priorizando la funcionalidad hidráulica sin alterar la estructura esencial del contrato ni exceder los límites del Acuerdo 007 de 2022.</w:t>
      </w:r>
    </w:p>
    <w:p w14:paraId="2E94070C" w14:textId="578736DA" w:rsidR="00944730" w:rsidRPr="00AB0506" w:rsidRDefault="00944730" w:rsidP="00944730">
      <w:pPr>
        <w:spacing w:after="0" w:line="240" w:lineRule="auto"/>
        <w:jc w:val="both"/>
        <w:rPr>
          <w:rFonts w:ascii="Arial" w:hAnsi="Arial" w:cs="Arial"/>
        </w:rPr>
      </w:pPr>
      <w:r w:rsidRPr="00AB0506">
        <w:rPr>
          <w:rFonts w:ascii="Arial" w:hAnsi="Arial" w:cs="Arial"/>
        </w:rPr>
        <w:br/>
        <w:t xml:space="preserve">Por tanto, </w:t>
      </w:r>
      <w:proofErr w:type="gramStart"/>
      <w:r w:rsidRPr="00AB0506">
        <w:rPr>
          <w:rFonts w:ascii="Arial" w:hAnsi="Arial" w:cs="Arial"/>
        </w:rPr>
        <w:t>afirmar</w:t>
      </w:r>
      <w:proofErr w:type="gramEnd"/>
      <w:r w:rsidRPr="00AB0506">
        <w:rPr>
          <w:rFonts w:ascii="Arial" w:hAnsi="Arial" w:cs="Arial"/>
        </w:rPr>
        <w:t xml:space="preserve"> que la falta inicial de un box-</w:t>
      </w:r>
      <w:proofErr w:type="spellStart"/>
      <w:r w:rsidRPr="00AB0506">
        <w:rPr>
          <w:rFonts w:ascii="Arial" w:hAnsi="Arial" w:cs="Arial"/>
        </w:rPr>
        <w:t>culvert</w:t>
      </w:r>
      <w:proofErr w:type="spellEnd"/>
      <w:r w:rsidRPr="00AB0506">
        <w:rPr>
          <w:rFonts w:ascii="Arial" w:hAnsi="Arial" w:cs="Arial"/>
        </w:rPr>
        <w:t xml:space="preserve"> o de un </w:t>
      </w:r>
      <w:proofErr w:type="gramStart"/>
      <w:r w:rsidRPr="00AB0506">
        <w:rPr>
          <w:rFonts w:ascii="Arial" w:hAnsi="Arial" w:cs="Arial"/>
        </w:rPr>
        <w:t>eco-ducto</w:t>
      </w:r>
      <w:proofErr w:type="gramEnd"/>
      <w:r w:rsidRPr="00AB0506">
        <w:rPr>
          <w:rFonts w:ascii="Arial" w:hAnsi="Arial" w:cs="Arial"/>
        </w:rPr>
        <w:t xml:space="preserve"> convierte el proyecto en “inviable estructuralmente” es una conclusión desproporcionada y carente de soporte normativo, más aún cuando los correctivos son plenamente implementables en fase de ajuste técnico.</w:t>
      </w:r>
    </w:p>
    <w:p w14:paraId="7FDF1745" w14:textId="1206A5D3" w:rsidR="00944730" w:rsidRPr="00944730" w:rsidRDefault="00944730" w:rsidP="00944730">
      <w:pPr>
        <w:spacing w:after="0" w:line="240" w:lineRule="auto"/>
        <w:jc w:val="both"/>
        <w:rPr>
          <w:rFonts w:ascii="Arial" w:hAnsi="Arial" w:cs="Arial"/>
        </w:rPr>
      </w:pPr>
    </w:p>
    <w:p w14:paraId="2C8CAFF3" w14:textId="77777777" w:rsidR="00944730" w:rsidRDefault="00944730" w:rsidP="00944730">
      <w:pPr>
        <w:spacing w:after="0" w:line="240" w:lineRule="auto"/>
        <w:jc w:val="both"/>
        <w:rPr>
          <w:rFonts w:ascii="Arial" w:hAnsi="Arial" w:cs="Arial"/>
          <w:b/>
          <w:bCs/>
        </w:rPr>
      </w:pPr>
      <w:r w:rsidRPr="00944730">
        <w:rPr>
          <w:rFonts w:ascii="Arial" w:hAnsi="Arial" w:cs="Arial"/>
          <w:b/>
          <w:bCs/>
        </w:rPr>
        <w:t>5.4. Inconsistencia del argumento financiero</w:t>
      </w:r>
    </w:p>
    <w:p w14:paraId="39968CB2" w14:textId="77777777" w:rsidR="00296EDF" w:rsidRPr="00944730" w:rsidRDefault="00296EDF" w:rsidP="00944730">
      <w:pPr>
        <w:spacing w:after="0" w:line="240" w:lineRule="auto"/>
        <w:jc w:val="both"/>
        <w:rPr>
          <w:rFonts w:ascii="Arial" w:hAnsi="Arial" w:cs="Arial"/>
          <w:b/>
          <w:bCs/>
        </w:rPr>
      </w:pPr>
    </w:p>
    <w:p w14:paraId="23692925" w14:textId="77777777" w:rsidR="00296EDF" w:rsidRPr="00AB0506" w:rsidRDefault="00944730" w:rsidP="00944730">
      <w:pPr>
        <w:spacing w:after="0" w:line="240" w:lineRule="auto"/>
        <w:jc w:val="both"/>
        <w:rPr>
          <w:rFonts w:ascii="Arial" w:hAnsi="Arial" w:cs="Arial"/>
        </w:rPr>
      </w:pPr>
      <w:r w:rsidRPr="00AB0506">
        <w:rPr>
          <w:rFonts w:ascii="Arial" w:hAnsi="Arial" w:cs="Arial"/>
        </w:rPr>
        <w:t>El concepto financiero sostiene que el ajuste representa una adición del 25,76 % del valor contractual y que ello implicaría una contradicción entre el aumento de recursos y la reducción del alcance físico.</w:t>
      </w:r>
    </w:p>
    <w:p w14:paraId="2C46B6C0" w14:textId="203C5F04" w:rsidR="00944730" w:rsidRPr="00AB0506" w:rsidRDefault="00944730" w:rsidP="00944730">
      <w:pPr>
        <w:spacing w:after="0" w:line="240" w:lineRule="auto"/>
        <w:jc w:val="both"/>
        <w:rPr>
          <w:rFonts w:ascii="Arial" w:hAnsi="Arial" w:cs="Arial"/>
        </w:rPr>
      </w:pPr>
      <w:r w:rsidRPr="00AB0506">
        <w:rPr>
          <w:rFonts w:ascii="Arial" w:hAnsi="Arial" w:cs="Arial"/>
        </w:rPr>
        <w:br/>
        <w:t>No obstante, esta interpretación ignora la realidad del mercado y la actualización de precios derivada del incremento del Índice de Costos de la Construcción de Obras Civiles, los nuevos requerimientos normativos técnicos y de materiales, y las condiciones logísticas propias de Leticia, municipio de frontera con sobrecostos estructurales de transporte.</w:t>
      </w:r>
    </w:p>
    <w:p w14:paraId="31FC9074" w14:textId="77777777" w:rsidR="00296EDF" w:rsidRPr="00AB0506" w:rsidRDefault="00296EDF" w:rsidP="00944730">
      <w:pPr>
        <w:spacing w:after="0" w:line="240" w:lineRule="auto"/>
        <w:jc w:val="both"/>
        <w:rPr>
          <w:rFonts w:ascii="Arial" w:hAnsi="Arial" w:cs="Arial"/>
        </w:rPr>
      </w:pPr>
    </w:p>
    <w:p w14:paraId="146DD1D0" w14:textId="77777777" w:rsidR="00296EDF" w:rsidRPr="00AB0506" w:rsidRDefault="00944730" w:rsidP="00944730">
      <w:pPr>
        <w:spacing w:after="0" w:line="240" w:lineRule="auto"/>
        <w:jc w:val="both"/>
        <w:rPr>
          <w:rFonts w:ascii="Arial" w:hAnsi="Arial" w:cs="Arial"/>
        </w:rPr>
      </w:pPr>
      <w:r w:rsidRPr="00AB0506">
        <w:rPr>
          <w:rFonts w:ascii="Arial" w:hAnsi="Arial" w:cs="Arial"/>
        </w:rPr>
        <w:lastRenderedPageBreak/>
        <w:t>En tal contexto, el aumento presupuestal no se traduce en una ampliación del objeto, sino en la actualización económica necesaria para mantener su viabilidad técnica.</w:t>
      </w:r>
    </w:p>
    <w:p w14:paraId="2FDDA371" w14:textId="413E7726" w:rsidR="00944730" w:rsidRPr="00AB0506" w:rsidRDefault="00944730" w:rsidP="00944730">
      <w:pPr>
        <w:spacing w:after="0" w:line="240" w:lineRule="auto"/>
        <w:jc w:val="both"/>
        <w:rPr>
          <w:rFonts w:ascii="Arial" w:hAnsi="Arial" w:cs="Arial"/>
        </w:rPr>
      </w:pPr>
      <w:r w:rsidRPr="00AB0506">
        <w:rPr>
          <w:rFonts w:ascii="Arial" w:hAnsi="Arial" w:cs="Arial"/>
        </w:rPr>
        <w:br/>
        <w:t>El propio Acuerdo 007 de 2022 permite ajustes financieros hasta el 50 % del valor aprobado, precisamente para absorber este tipo de variaciones.</w:t>
      </w:r>
      <w:r w:rsidRPr="00AB0506">
        <w:rPr>
          <w:rFonts w:ascii="Arial" w:hAnsi="Arial" w:cs="Arial"/>
        </w:rPr>
        <w:br/>
        <w:t>Por ello, una adición del 25,76 % se encuentra dentro del marco permitido y no configura irregularidad alguna, siempre que la justificación técnica respalde la necesidad del recurso adicional.</w:t>
      </w:r>
    </w:p>
    <w:p w14:paraId="08C3F723" w14:textId="77777777" w:rsidR="00296EDF" w:rsidRPr="00AB0506" w:rsidRDefault="00296EDF" w:rsidP="00944730">
      <w:pPr>
        <w:spacing w:after="0" w:line="240" w:lineRule="auto"/>
        <w:jc w:val="both"/>
        <w:rPr>
          <w:rFonts w:ascii="Arial" w:hAnsi="Arial" w:cs="Arial"/>
        </w:rPr>
      </w:pPr>
    </w:p>
    <w:p w14:paraId="64D3E8A9" w14:textId="77777777" w:rsidR="00944730" w:rsidRPr="00AB0506" w:rsidRDefault="00944730" w:rsidP="00944730">
      <w:pPr>
        <w:spacing w:after="0" w:line="240" w:lineRule="auto"/>
        <w:jc w:val="both"/>
        <w:rPr>
          <w:rFonts w:ascii="Arial" w:hAnsi="Arial" w:cs="Arial"/>
        </w:rPr>
      </w:pPr>
      <w:r w:rsidRPr="00AB0506">
        <w:rPr>
          <w:rFonts w:ascii="Arial" w:hAnsi="Arial" w:cs="Arial"/>
        </w:rPr>
        <w:t>Además, la afirmación de que existe una “contradicción” entre mayor costo y menor longitud parte de una visión meramente cuantitativa del alcance físico, sin valorar que los rediseños hidráulicos, estructurales y ambientales pueden incrementar la complejidad técnica de la obra sin alterar su finalidad.</w:t>
      </w:r>
    </w:p>
    <w:p w14:paraId="7CAC032C" w14:textId="77777777" w:rsidR="002B6AD8" w:rsidRPr="00AB0506" w:rsidRDefault="002B6AD8" w:rsidP="00944730">
      <w:pPr>
        <w:spacing w:after="0" w:line="240" w:lineRule="auto"/>
        <w:jc w:val="both"/>
        <w:rPr>
          <w:rFonts w:ascii="Arial" w:hAnsi="Arial" w:cs="Arial"/>
        </w:rPr>
      </w:pPr>
    </w:p>
    <w:p w14:paraId="4115941D" w14:textId="205C8A5D" w:rsidR="002B6AD8" w:rsidRPr="00AB0506" w:rsidRDefault="002B6AD8" w:rsidP="002B6AD8">
      <w:pPr>
        <w:spacing w:after="0" w:line="240" w:lineRule="auto"/>
        <w:jc w:val="both"/>
        <w:rPr>
          <w:rFonts w:ascii="Arial" w:hAnsi="Arial" w:cs="Arial"/>
        </w:rPr>
      </w:pPr>
      <w:r w:rsidRPr="002B6AD8">
        <w:rPr>
          <w:rFonts w:ascii="Arial" w:hAnsi="Arial" w:cs="Arial"/>
        </w:rPr>
        <w:t>El concepto financiero sostiene que el ajuste representa una adición del 25,76 % del valor contractual y que ello implicaría una contradicción entre el aumento de recursos y la reducción del alcance físico.</w:t>
      </w:r>
      <w:r w:rsidR="00250B9A">
        <w:rPr>
          <w:rFonts w:ascii="Arial" w:hAnsi="Arial" w:cs="Arial"/>
        </w:rPr>
        <w:t xml:space="preserve"> </w:t>
      </w:r>
      <w:r w:rsidRPr="002B6AD8">
        <w:rPr>
          <w:rFonts w:ascii="Arial" w:hAnsi="Arial" w:cs="Arial"/>
        </w:rPr>
        <w:t>No obstante, esta interpretación desconoce la naturaleza dinámica de la ejecución contractual y la posibilidad, jurídicamente válida, de adaptar las cantidades de obra a las disponibilidades presupuestales sin alterar el objeto ni la finalidad del proyecto.</w:t>
      </w:r>
    </w:p>
    <w:p w14:paraId="596DC2CA" w14:textId="77777777" w:rsidR="002B6AD8" w:rsidRPr="002B6AD8" w:rsidRDefault="002B6AD8" w:rsidP="002B6AD8">
      <w:pPr>
        <w:spacing w:after="0" w:line="240" w:lineRule="auto"/>
        <w:jc w:val="both"/>
        <w:rPr>
          <w:rFonts w:ascii="Arial" w:hAnsi="Arial" w:cs="Arial"/>
        </w:rPr>
      </w:pPr>
    </w:p>
    <w:p w14:paraId="73DFFF83" w14:textId="77777777" w:rsidR="002B6AD8" w:rsidRPr="00AB0506" w:rsidRDefault="002B6AD8" w:rsidP="002B6AD8">
      <w:pPr>
        <w:spacing w:after="0" w:line="240" w:lineRule="auto"/>
        <w:jc w:val="both"/>
        <w:rPr>
          <w:rFonts w:ascii="Arial" w:hAnsi="Arial" w:cs="Arial"/>
        </w:rPr>
      </w:pPr>
      <w:r w:rsidRPr="002B6AD8">
        <w:rPr>
          <w:rFonts w:ascii="Arial" w:hAnsi="Arial" w:cs="Arial"/>
        </w:rPr>
        <w:t>De acuerdo con los criterios doctrinarios contenidos en el Concepto C-384 de 2025 de la Agencia Nacional de Contratación Pública – Colombia Compra Eficiente, la modificación de los valores contractuales no se limita únicamente a la adición de recursos, sino que puede materializarse mediante ajustes internos en las cantidades de obra, supresión de ítems accesorios o complementarios, o reprogramación de actividades, siempre que dichas medidas no afecten la funcionalidad ni la operatividad esencial del bien o servicio contratado.</w:t>
      </w:r>
    </w:p>
    <w:p w14:paraId="5EACA6C6" w14:textId="77777777" w:rsidR="002B6AD8" w:rsidRPr="002B6AD8" w:rsidRDefault="002B6AD8" w:rsidP="002B6AD8">
      <w:pPr>
        <w:spacing w:after="0" w:line="240" w:lineRule="auto"/>
        <w:jc w:val="both"/>
        <w:rPr>
          <w:rFonts w:ascii="Arial" w:hAnsi="Arial" w:cs="Arial"/>
        </w:rPr>
      </w:pPr>
    </w:p>
    <w:p w14:paraId="707F7256" w14:textId="77777777" w:rsidR="002B6AD8" w:rsidRPr="00AB0506" w:rsidRDefault="002B6AD8" w:rsidP="002B6AD8">
      <w:pPr>
        <w:spacing w:after="0" w:line="240" w:lineRule="auto"/>
        <w:jc w:val="both"/>
        <w:rPr>
          <w:rFonts w:ascii="Arial" w:hAnsi="Arial" w:cs="Arial"/>
        </w:rPr>
      </w:pPr>
      <w:r w:rsidRPr="002B6AD8">
        <w:rPr>
          <w:rFonts w:ascii="Arial" w:hAnsi="Arial" w:cs="Arial"/>
        </w:rPr>
        <w:t>En consecuencia, en caso de no contarse con recursos adicionales suficientes, la RAP Amazonía podía —y debía— aplicar mecanismos de optimización técnica, ajustando las cantidades de obra o excluyendo componentes no esenciales hasta donde el presupuesto disponible lo permitiera, preservando así la integridad funcional de la Avenida Vásquez Cobo.</w:t>
      </w:r>
    </w:p>
    <w:p w14:paraId="735A42C4" w14:textId="2086DAAA" w:rsidR="002B6AD8" w:rsidRDefault="002B6AD8" w:rsidP="002B6AD8">
      <w:pPr>
        <w:spacing w:after="0" w:line="240" w:lineRule="auto"/>
        <w:jc w:val="both"/>
        <w:rPr>
          <w:rFonts w:ascii="Arial" w:hAnsi="Arial" w:cs="Arial"/>
        </w:rPr>
      </w:pPr>
      <w:r w:rsidRPr="002B6AD8">
        <w:rPr>
          <w:rFonts w:ascii="Arial" w:hAnsi="Arial" w:cs="Arial"/>
        </w:rPr>
        <w:br/>
        <w:t>Este tipo de medidas son expresamente reconocidas como válidas dentro del régimen contractual público, en virtud de los principios de planeación, economía y eficacia administrativa, que exigen a la administración buscar la ejecución de los proyectos dentro de las posibilidades reales de financiación, evitando la paralización de obras que satisfacen necesidades públicas prioritarias.</w:t>
      </w:r>
    </w:p>
    <w:p w14:paraId="47AB557C" w14:textId="77777777" w:rsidR="00AB0506" w:rsidRPr="002B6AD8" w:rsidRDefault="00AB0506" w:rsidP="002B6AD8">
      <w:pPr>
        <w:spacing w:after="0" w:line="240" w:lineRule="auto"/>
        <w:jc w:val="both"/>
        <w:rPr>
          <w:rFonts w:ascii="Arial" w:hAnsi="Arial" w:cs="Arial"/>
        </w:rPr>
      </w:pPr>
    </w:p>
    <w:p w14:paraId="68C054E8" w14:textId="77777777" w:rsidR="002B6AD8" w:rsidRPr="002B6AD8" w:rsidRDefault="002B6AD8" w:rsidP="002B6AD8">
      <w:pPr>
        <w:spacing w:after="0" w:line="240" w:lineRule="auto"/>
        <w:jc w:val="both"/>
        <w:rPr>
          <w:rFonts w:ascii="Arial" w:hAnsi="Arial" w:cs="Arial"/>
        </w:rPr>
      </w:pPr>
      <w:r w:rsidRPr="002B6AD8">
        <w:rPr>
          <w:rFonts w:ascii="Arial" w:hAnsi="Arial" w:cs="Arial"/>
        </w:rPr>
        <w:t>Así las cosas, el incremento presupuestal planteado —equivalente al 25,76 %— no representa un cambio de alcance, sino la actualización económica necesaria para cumplir el mismo objeto en condiciones reales de mercado y, en su defecto, la adopción de medidas de racionalización técnica que aseguren la culminación del proyecto sin exceder la disponibilidad de recursos.</w:t>
      </w:r>
    </w:p>
    <w:p w14:paraId="78D0CD21" w14:textId="77777777" w:rsidR="002B6AD8" w:rsidRPr="00AB0506" w:rsidRDefault="002B6AD8" w:rsidP="00944730">
      <w:pPr>
        <w:spacing w:after="0" w:line="240" w:lineRule="auto"/>
        <w:jc w:val="both"/>
        <w:rPr>
          <w:rFonts w:ascii="Arial" w:hAnsi="Arial" w:cs="Arial"/>
        </w:rPr>
      </w:pPr>
    </w:p>
    <w:p w14:paraId="5A0B90C8" w14:textId="77777777" w:rsidR="00944730" w:rsidRDefault="00944730" w:rsidP="00944730">
      <w:pPr>
        <w:spacing w:after="0" w:line="240" w:lineRule="auto"/>
        <w:jc w:val="both"/>
        <w:rPr>
          <w:rFonts w:ascii="Arial" w:hAnsi="Arial" w:cs="Arial"/>
          <w:b/>
          <w:bCs/>
        </w:rPr>
      </w:pPr>
      <w:r w:rsidRPr="00944730">
        <w:rPr>
          <w:rFonts w:ascii="Arial" w:hAnsi="Arial" w:cs="Arial"/>
          <w:b/>
          <w:bCs/>
        </w:rPr>
        <w:t>5.5. Falta de rigor en el análisis jurídico-ambiental</w:t>
      </w:r>
    </w:p>
    <w:p w14:paraId="56E0E96E" w14:textId="77777777" w:rsidR="00296EDF" w:rsidRPr="00944730" w:rsidRDefault="00296EDF" w:rsidP="00944730">
      <w:pPr>
        <w:spacing w:after="0" w:line="240" w:lineRule="auto"/>
        <w:jc w:val="both"/>
        <w:rPr>
          <w:rFonts w:ascii="Arial" w:hAnsi="Arial" w:cs="Arial"/>
          <w:b/>
          <w:bCs/>
        </w:rPr>
      </w:pPr>
    </w:p>
    <w:p w14:paraId="7188F8D1" w14:textId="77777777" w:rsidR="00296EDF" w:rsidRPr="0008039C" w:rsidRDefault="00944730" w:rsidP="00944730">
      <w:pPr>
        <w:spacing w:after="0" w:line="240" w:lineRule="auto"/>
        <w:jc w:val="both"/>
        <w:rPr>
          <w:rFonts w:ascii="Arial" w:hAnsi="Arial" w:cs="Arial"/>
        </w:rPr>
      </w:pPr>
      <w:r w:rsidRPr="0008039C">
        <w:rPr>
          <w:rFonts w:ascii="Arial" w:hAnsi="Arial" w:cs="Arial"/>
        </w:rPr>
        <w:t xml:space="preserve">El denominado “Concepto Técnico Ambiental” de </w:t>
      </w:r>
      <w:proofErr w:type="spellStart"/>
      <w:r w:rsidRPr="0008039C">
        <w:rPr>
          <w:rFonts w:ascii="Arial" w:hAnsi="Arial" w:cs="Arial"/>
        </w:rPr>
        <w:t>Corpoamazonia</w:t>
      </w:r>
      <w:proofErr w:type="spellEnd"/>
      <w:r w:rsidRPr="0008039C">
        <w:rPr>
          <w:rFonts w:ascii="Arial" w:hAnsi="Arial" w:cs="Arial"/>
        </w:rPr>
        <w:t xml:space="preserve"> es, según se admite expresamente, un documento de apoyo técnico sin naturaleza de acto administrativo, por lo cual no produce efectos jurídicos vinculantes.</w:t>
      </w:r>
    </w:p>
    <w:p w14:paraId="5DD7C787" w14:textId="77777777" w:rsidR="00296EDF" w:rsidRPr="0008039C" w:rsidRDefault="00944730" w:rsidP="00944730">
      <w:pPr>
        <w:spacing w:after="0" w:line="240" w:lineRule="auto"/>
        <w:jc w:val="both"/>
        <w:rPr>
          <w:rFonts w:ascii="Arial" w:hAnsi="Arial" w:cs="Arial"/>
        </w:rPr>
      </w:pPr>
      <w:r w:rsidRPr="0008039C">
        <w:rPr>
          <w:rFonts w:ascii="Arial" w:hAnsi="Arial" w:cs="Arial"/>
        </w:rPr>
        <w:br/>
        <w:t>Su contenido se limita a recomendaciones generales derivadas de una visita y una georreferenciación, sin constituir una decisión de autoridad ambiental ni una licencia o autorización en firme.</w:t>
      </w:r>
    </w:p>
    <w:p w14:paraId="08BE3C33" w14:textId="06113981" w:rsidR="00944730" w:rsidRPr="0008039C" w:rsidRDefault="00944730" w:rsidP="00944730">
      <w:pPr>
        <w:spacing w:after="0" w:line="240" w:lineRule="auto"/>
        <w:jc w:val="both"/>
        <w:rPr>
          <w:rFonts w:ascii="Arial" w:hAnsi="Arial" w:cs="Arial"/>
        </w:rPr>
      </w:pPr>
      <w:r w:rsidRPr="0008039C">
        <w:rPr>
          <w:rFonts w:ascii="Arial" w:hAnsi="Arial" w:cs="Arial"/>
        </w:rPr>
        <w:br/>
        <w:t>Por tanto, la RAP no puede invocar dicho documento como fundamento determinante para declarar la inviabilidad de un proyecto, pues ello implicaría atribuirle efectos que exceden su naturaleza consultiva.</w:t>
      </w:r>
    </w:p>
    <w:p w14:paraId="5752B250" w14:textId="77777777" w:rsidR="00296EDF" w:rsidRPr="0008039C" w:rsidRDefault="00296EDF" w:rsidP="00944730">
      <w:pPr>
        <w:spacing w:after="0" w:line="240" w:lineRule="auto"/>
        <w:jc w:val="both"/>
        <w:rPr>
          <w:rFonts w:ascii="Arial" w:hAnsi="Arial" w:cs="Arial"/>
        </w:rPr>
      </w:pPr>
    </w:p>
    <w:p w14:paraId="0E764DE9" w14:textId="77777777" w:rsidR="00296EDF" w:rsidRPr="0008039C" w:rsidRDefault="00944730" w:rsidP="00944730">
      <w:pPr>
        <w:spacing w:after="0" w:line="240" w:lineRule="auto"/>
        <w:jc w:val="both"/>
        <w:rPr>
          <w:rFonts w:ascii="Arial" w:hAnsi="Arial" w:cs="Arial"/>
        </w:rPr>
      </w:pPr>
      <w:r w:rsidRPr="0008039C">
        <w:rPr>
          <w:rFonts w:ascii="Arial" w:hAnsi="Arial" w:cs="Arial"/>
        </w:rPr>
        <w:t>Adicionalmente, el concepto ambiental no establece que el proyecto sea ilegal o irrealizable, sino que identifica la necesidad de incorporar medidas de manejo y de tramitar permisos específicos, obligaciones perfectamente compatibles con la continuación del proceso.</w:t>
      </w:r>
    </w:p>
    <w:p w14:paraId="05182774" w14:textId="1A8F81E1" w:rsidR="00944730" w:rsidRPr="0008039C" w:rsidRDefault="00944730" w:rsidP="00944730">
      <w:pPr>
        <w:spacing w:after="0" w:line="240" w:lineRule="auto"/>
        <w:jc w:val="both"/>
        <w:rPr>
          <w:rFonts w:ascii="Arial" w:hAnsi="Arial" w:cs="Arial"/>
        </w:rPr>
      </w:pPr>
      <w:r w:rsidRPr="0008039C">
        <w:rPr>
          <w:rFonts w:ascii="Arial" w:hAnsi="Arial" w:cs="Arial"/>
        </w:rPr>
        <w:br/>
        <w:t>Convertir esas recomendaciones en causa de “no continuidad” contradice el principio de gestión ambiental preventiva y progresiva, que permite ajustar proyectos en su ejecución para mitigar impactos, sin desvirtuar su validez ni su licitud.</w:t>
      </w:r>
    </w:p>
    <w:p w14:paraId="0AAE4617" w14:textId="6B97ADD2" w:rsidR="00944730" w:rsidRPr="00944730" w:rsidRDefault="00944730" w:rsidP="00944730">
      <w:pPr>
        <w:spacing w:after="0" w:line="240" w:lineRule="auto"/>
        <w:jc w:val="both"/>
        <w:rPr>
          <w:rFonts w:ascii="Arial" w:hAnsi="Arial" w:cs="Arial"/>
        </w:rPr>
      </w:pPr>
    </w:p>
    <w:p w14:paraId="5AC395A1" w14:textId="77777777" w:rsidR="00944730" w:rsidRDefault="00944730" w:rsidP="00944730">
      <w:pPr>
        <w:spacing w:after="0" w:line="240" w:lineRule="auto"/>
        <w:jc w:val="both"/>
        <w:rPr>
          <w:rFonts w:ascii="Arial" w:hAnsi="Arial" w:cs="Arial"/>
          <w:b/>
          <w:bCs/>
        </w:rPr>
      </w:pPr>
      <w:r w:rsidRPr="00944730">
        <w:rPr>
          <w:rFonts w:ascii="Arial" w:hAnsi="Arial" w:cs="Arial"/>
          <w:b/>
          <w:bCs/>
        </w:rPr>
        <w:t>5.6. Falta de ponderación integral y vulneración del principio de proporcionalidad</w:t>
      </w:r>
    </w:p>
    <w:p w14:paraId="1AE46C2A" w14:textId="77777777" w:rsidR="00296EDF" w:rsidRPr="00944730" w:rsidRDefault="00296EDF" w:rsidP="00944730">
      <w:pPr>
        <w:spacing w:after="0" w:line="240" w:lineRule="auto"/>
        <w:jc w:val="both"/>
        <w:rPr>
          <w:rFonts w:ascii="Arial" w:hAnsi="Arial" w:cs="Arial"/>
          <w:b/>
          <w:bCs/>
        </w:rPr>
      </w:pPr>
    </w:p>
    <w:p w14:paraId="16E97AB5" w14:textId="77777777" w:rsidR="00296EDF" w:rsidRPr="0008039C" w:rsidRDefault="00944730" w:rsidP="00944730">
      <w:pPr>
        <w:spacing w:after="0" w:line="240" w:lineRule="auto"/>
        <w:jc w:val="both"/>
        <w:rPr>
          <w:rFonts w:ascii="Arial" w:hAnsi="Arial" w:cs="Arial"/>
        </w:rPr>
      </w:pPr>
      <w:r w:rsidRPr="0008039C">
        <w:rPr>
          <w:rFonts w:ascii="Arial" w:hAnsi="Arial" w:cs="Arial"/>
        </w:rPr>
        <w:t>Finalmente, tanto los conceptos técnicos como el financiero y ambiental presentan una visión fragmentada e inconexa del proyecto, sin realizar una ponderación integral entre el interés ambiental, el principio de planeación y la eficacia del gasto público.</w:t>
      </w:r>
    </w:p>
    <w:p w14:paraId="1C5020F3" w14:textId="48163484" w:rsidR="00944730" w:rsidRPr="0008039C" w:rsidRDefault="00944730" w:rsidP="00944730">
      <w:pPr>
        <w:spacing w:after="0" w:line="240" w:lineRule="auto"/>
        <w:jc w:val="both"/>
        <w:rPr>
          <w:rFonts w:ascii="Arial" w:hAnsi="Arial" w:cs="Arial"/>
        </w:rPr>
      </w:pPr>
      <w:r w:rsidRPr="0008039C">
        <w:rPr>
          <w:rFonts w:ascii="Arial" w:hAnsi="Arial" w:cs="Arial"/>
        </w:rPr>
        <w:br/>
        <w:t>Se privilegia la forma sobre el fondo, sacrificando la ejecución de una obra prioritaria y de alto impacto regional por observaciones subsanables, contrariando el principio de proporcionalidad que rige la actuación administrativa.</w:t>
      </w:r>
    </w:p>
    <w:p w14:paraId="43B54071" w14:textId="77777777" w:rsidR="00296EDF" w:rsidRPr="0008039C" w:rsidRDefault="00296EDF" w:rsidP="00944730">
      <w:pPr>
        <w:spacing w:after="0" w:line="240" w:lineRule="auto"/>
        <w:jc w:val="both"/>
        <w:rPr>
          <w:rFonts w:ascii="Arial" w:hAnsi="Arial" w:cs="Arial"/>
        </w:rPr>
      </w:pPr>
    </w:p>
    <w:p w14:paraId="490CCD7D" w14:textId="19552372" w:rsidR="00944730" w:rsidRPr="0008039C" w:rsidRDefault="00944730" w:rsidP="00944730">
      <w:pPr>
        <w:spacing w:after="0" w:line="240" w:lineRule="auto"/>
        <w:jc w:val="both"/>
        <w:rPr>
          <w:rFonts w:ascii="Arial" w:hAnsi="Arial" w:cs="Arial"/>
        </w:rPr>
      </w:pPr>
      <w:r w:rsidRPr="0008039C">
        <w:rPr>
          <w:rFonts w:ascii="Arial" w:hAnsi="Arial" w:cs="Arial"/>
        </w:rPr>
        <w:t>El deber de la RAP no era detener un proceso viable, sino adoptar medidas correctivas coordinadas con el Municipio de Leticia, el contratista y la interventoría para garantizar su desarrollo técnico-ambiental conforme al marco normativo.</w:t>
      </w:r>
      <w:r w:rsidR="00250B9A">
        <w:rPr>
          <w:rFonts w:ascii="Arial" w:hAnsi="Arial" w:cs="Arial"/>
        </w:rPr>
        <w:t xml:space="preserve"> </w:t>
      </w:r>
      <w:r w:rsidRPr="0008039C">
        <w:rPr>
          <w:rFonts w:ascii="Arial" w:hAnsi="Arial" w:cs="Arial"/>
        </w:rPr>
        <w:t>Al optar por la suspensión y la declaratoria de inviabilidad, la entidad ejecutora incurrió en una decisión desproporcionada, carente de motivación suficiente y contraria al principio de eficacia administrativa previsto en el artículo 3 del CPACA.</w:t>
      </w:r>
    </w:p>
    <w:p w14:paraId="75DD1BD6" w14:textId="77777777" w:rsidR="00944730" w:rsidRPr="0008039C" w:rsidRDefault="00944730" w:rsidP="000A55DC">
      <w:pPr>
        <w:spacing w:after="0" w:line="240" w:lineRule="auto"/>
        <w:jc w:val="both"/>
        <w:rPr>
          <w:rFonts w:ascii="Arial" w:hAnsi="Arial" w:cs="Arial"/>
        </w:rPr>
      </w:pPr>
    </w:p>
    <w:p w14:paraId="32D3ADDA" w14:textId="77777777" w:rsidR="002B6AD8" w:rsidRPr="0008039C" w:rsidRDefault="002B6AD8" w:rsidP="002B6AD8">
      <w:pPr>
        <w:spacing w:after="0" w:line="240" w:lineRule="auto"/>
        <w:jc w:val="both"/>
        <w:rPr>
          <w:rFonts w:ascii="Arial" w:hAnsi="Arial" w:cs="Arial"/>
        </w:rPr>
      </w:pPr>
      <w:r w:rsidRPr="002B6AD8">
        <w:rPr>
          <w:rFonts w:ascii="Arial" w:hAnsi="Arial" w:cs="Arial"/>
        </w:rPr>
        <w:t>La solicitud de revocatoria de la Resolución 198 de 2025 se sustenta, además, en los criterios doctrinarios de la Agencia Nacional de Contratación Pública – Colombia Compra Eficiente (Conceptos C-308 de 2024, C-384 de 2025 y C-960 de 2024)</w:t>
      </w:r>
      <w:r w:rsidRPr="0008039C">
        <w:rPr>
          <w:rFonts w:ascii="Arial" w:hAnsi="Arial" w:cs="Arial"/>
        </w:rPr>
        <w:t xml:space="preserve">, que </w:t>
      </w:r>
      <w:r w:rsidRPr="0008039C">
        <w:rPr>
          <w:rFonts w:ascii="Arial" w:hAnsi="Arial" w:cs="Arial"/>
        </w:rPr>
        <w:lastRenderedPageBreak/>
        <w:t>reconocen la procedencia excepcional pero legítima de las modificaciones contractuales cuando persiguen el interés público, se basan en causas ciertas y no alteran el objeto contractual.</w:t>
      </w:r>
    </w:p>
    <w:p w14:paraId="33074765" w14:textId="50B46000" w:rsidR="002B6AD8" w:rsidRDefault="002B6AD8" w:rsidP="002B6AD8">
      <w:pPr>
        <w:spacing w:after="0" w:line="240" w:lineRule="auto"/>
        <w:jc w:val="both"/>
        <w:rPr>
          <w:rFonts w:ascii="Arial" w:hAnsi="Arial" w:cs="Arial"/>
        </w:rPr>
      </w:pPr>
      <w:r w:rsidRPr="0008039C">
        <w:rPr>
          <w:rFonts w:ascii="Arial" w:hAnsi="Arial" w:cs="Arial"/>
        </w:rPr>
        <w:br/>
        <w:t xml:space="preserve">Bajo esa perspectiva, los ajustes técnicos recomendados por la interventoría </w:t>
      </w:r>
      <w:proofErr w:type="gramStart"/>
      <w:r w:rsidRPr="0008039C">
        <w:rPr>
          <w:rFonts w:ascii="Arial" w:hAnsi="Arial" w:cs="Arial"/>
        </w:rPr>
        <w:t>se enmarcan dentro de</w:t>
      </w:r>
      <w:proofErr w:type="gramEnd"/>
      <w:r w:rsidRPr="0008039C">
        <w:rPr>
          <w:rFonts w:ascii="Arial" w:hAnsi="Arial" w:cs="Arial"/>
        </w:rPr>
        <w:t xml:space="preserve"> la legalidad y resultan necesarios para salvaguardar la inversión pública y los fines del Estado.</w:t>
      </w:r>
    </w:p>
    <w:p w14:paraId="4B3BEABD" w14:textId="77777777" w:rsidR="0008039C" w:rsidRDefault="0008039C" w:rsidP="002B6AD8">
      <w:pPr>
        <w:spacing w:after="0" w:line="240" w:lineRule="auto"/>
        <w:jc w:val="both"/>
        <w:rPr>
          <w:rFonts w:ascii="Arial" w:hAnsi="Arial" w:cs="Arial"/>
        </w:rPr>
      </w:pPr>
    </w:p>
    <w:p w14:paraId="77E5A7A1" w14:textId="3927FC07" w:rsidR="0008039C" w:rsidRPr="0008039C" w:rsidRDefault="0008039C" w:rsidP="002B6AD8">
      <w:pPr>
        <w:spacing w:after="0" w:line="240" w:lineRule="auto"/>
        <w:jc w:val="both"/>
        <w:rPr>
          <w:rFonts w:ascii="Arial" w:hAnsi="Arial" w:cs="Arial"/>
          <w:b/>
          <w:bCs/>
        </w:rPr>
      </w:pPr>
      <w:r w:rsidRPr="0008039C">
        <w:rPr>
          <w:rFonts w:ascii="Arial" w:hAnsi="Arial" w:cs="Arial"/>
          <w:b/>
          <w:bCs/>
        </w:rPr>
        <w:t>6. Cuestionamiento a las decisiones adoptadas en los artículos tercero y cuarto de la Resolución 198 de 2025</w:t>
      </w:r>
    </w:p>
    <w:p w14:paraId="6EA381FB" w14:textId="77777777" w:rsidR="009968D8" w:rsidRDefault="009968D8" w:rsidP="002B6AD8">
      <w:pPr>
        <w:spacing w:after="0" w:line="240" w:lineRule="auto"/>
        <w:jc w:val="both"/>
        <w:rPr>
          <w:rFonts w:ascii="Arial" w:hAnsi="Arial" w:cs="Arial"/>
        </w:rPr>
      </w:pPr>
    </w:p>
    <w:p w14:paraId="360A292D" w14:textId="77777777" w:rsidR="009968D8" w:rsidRPr="00F5341D" w:rsidRDefault="009968D8" w:rsidP="009968D8">
      <w:pPr>
        <w:spacing w:after="0" w:line="240" w:lineRule="auto"/>
        <w:jc w:val="both"/>
        <w:rPr>
          <w:rFonts w:ascii="Arial" w:hAnsi="Arial" w:cs="Arial"/>
          <w:b/>
          <w:bCs/>
          <w:color w:val="EE0000"/>
        </w:rPr>
      </w:pPr>
      <w:r w:rsidRPr="009968D8">
        <w:rPr>
          <w:rFonts w:ascii="Arial" w:hAnsi="Arial" w:cs="Arial"/>
          <w:b/>
          <w:bCs/>
          <w:color w:val="EE0000"/>
        </w:rPr>
        <w:t>6.1. Improcedencia de la declaratoria de “inejecutabilidad” de los contratos</w:t>
      </w:r>
    </w:p>
    <w:p w14:paraId="1F3D2A24" w14:textId="77777777" w:rsidR="0008039C" w:rsidRPr="009968D8" w:rsidRDefault="0008039C" w:rsidP="009968D8">
      <w:pPr>
        <w:spacing w:after="0" w:line="240" w:lineRule="auto"/>
        <w:jc w:val="both"/>
        <w:rPr>
          <w:rFonts w:ascii="Arial" w:hAnsi="Arial" w:cs="Arial"/>
          <w:b/>
          <w:bCs/>
          <w:color w:val="EE0000"/>
        </w:rPr>
      </w:pPr>
    </w:p>
    <w:p w14:paraId="3EDA7C83" w14:textId="77777777" w:rsidR="009968D8" w:rsidRPr="00F5341D" w:rsidRDefault="009968D8" w:rsidP="009968D8">
      <w:pPr>
        <w:spacing w:after="0" w:line="240" w:lineRule="auto"/>
        <w:jc w:val="both"/>
        <w:rPr>
          <w:rFonts w:ascii="Arial" w:hAnsi="Arial" w:cs="Arial"/>
          <w:color w:val="EE0000"/>
        </w:rPr>
      </w:pPr>
      <w:r w:rsidRPr="009968D8">
        <w:rPr>
          <w:rFonts w:ascii="Arial" w:hAnsi="Arial" w:cs="Arial"/>
          <w:color w:val="EE0000"/>
        </w:rPr>
        <w:t xml:space="preserve">El artículo tercero de la resolución impugnada dispone que, en virtud de la decisión de no continuar con el proyecto BPIN 2021000060016, los contratos de obra No. 025 de 2022 y de interventoría No. 020 de 2022 se encuentran en “condición de inejecutabilidad”, ordenando al </w:t>
      </w:r>
      <w:proofErr w:type="gramStart"/>
      <w:r w:rsidRPr="009968D8">
        <w:rPr>
          <w:rFonts w:ascii="Arial" w:hAnsi="Arial" w:cs="Arial"/>
          <w:color w:val="EE0000"/>
        </w:rPr>
        <w:t>Director</w:t>
      </w:r>
      <w:proofErr w:type="gramEnd"/>
      <w:r w:rsidRPr="009968D8">
        <w:rPr>
          <w:rFonts w:ascii="Arial" w:hAnsi="Arial" w:cs="Arial"/>
          <w:color w:val="EE0000"/>
        </w:rPr>
        <w:t xml:space="preserve"> de Planeación Territorial de la RAP adelantar gestiones para su terminación anticipada por mutuo acuerdo, o en su defecto, acudir a los mecanismos judiciales pertinentes.</w:t>
      </w:r>
    </w:p>
    <w:p w14:paraId="72A437B9" w14:textId="77777777" w:rsidR="0008039C" w:rsidRPr="009968D8" w:rsidRDefault="0008039C" w:rsidP="009968D8">
      <w:pPr>
        <w:spacing w:after="0" w:line="240" w:lineRule="auto"/>
        <w:jc w:val="both"/>
        <w:rPr>
          <w:rFonts w:ascii="Arial" w:hAnsi="Arial" w:cs="Arial"/>
          <w:color w:val="EE0000"/>
        </w:rPr>
      </w:pPr>
    </w:p>
    <w:p w14:paraId="74238E8B" w14:textId="2B3223EC" w:rsidR="009968D8" w:rsidRPr="00F5341D" w:rsidRDefault="009968D8" w:rsidP="009968D8">
      <w:pPr>
        <w:spacing w:after="0" w:line="240" w:lineRule="auto"/>
        <w:jc w:val="both"/>
        <w:rPr>
          <w:rFonts w:ascii="Arial" w:hAnsi="Arial" w:cs="Arial"/>
          <w:color w:val="EE0000"/>
        </w:rPr>
      </w:pPr>
      <w:r w:rsidRPr="009968D8">
        <w:rPr>
          <w:rFonts w:ascii="Arial" w:hAnsi="Arial" w:cs="Arial"/>
          <w:color w:val="EE0000"/>
        </w:rPr>
        <w:t>i) La RAP Amazonía no puede declarar la inejecutabilidad de un contrato vigente sin que exista un acto administrativo de terminación debidamente motivado y notificado a las partes. La figura de la “inejecutabilidad” no existe como modalidad de terminación en el régimen contractual colombiano, ni en la Ley 80 de 1993 ni en la Ley 1150 de 2007. Su uso en este contexto constituye una invención jurídica sin respaldo normativo, contraria al principio de legalidad administrativa.</w:t>
      </w:r>
    </w:p>
    <w:p w14:paraId="3F78F0E4" w14:textId="77777777" w:rsidR="0008039C" w:rsidRPr="009968D8" w:rsidRDefault="0008039C" w:rsidP="009968D8">
      <w:pPr>
        <w:spacing w:after="0" w:line="240" w:lineRule="auto"/>
        <w:jc w:val="both"/>
        <w:rPr>
          <w:rFonts w:ascii="Arial" w:hAnsi="Arial" w:cs="Arial"/>
          <w:color w:val="EE0000"/>
        </w:rPr>
      </w:pPr>
    </w:p>
    <w:p w14:paraId="13205BB7" w14:textId="1DBE296F" w:rsidR="009968D8" w:rsidRPr="00F5341D" w:rsidRDefault="009968D8" w:rsidP="009968D8">
      <w:pPr>
        <w:spacing w:after="0" w:line="240" w:lineRule="auto"/>
        <w:jc w:val="both"/>
        <w:rPr>
          <w:rFonts w:ascii="Arial" w:hAnsi="Arial" w:cs="Arial"/>
          <w:color w:val="EE0000"/>
        </w:rPr>
      </w:pPr>
      <w:proofErr w:type="spellStart"/>
      <w:r w:rsidRPr="009968D8">
        <w:rPr>
          <w:rFonts w:ascii="Arial" w:hAnsi="Arial" w:cs="Arial"/>
          <w:color w:val="EE0000"/>
        </w:rPr>
        <w:t>ii</w:t>
      </w:r>
      <w:proofErr w:type="spellEnd"/>
      <w:r w:rsidRPr="009968D8">
        <w:rPr>
          <w:rFonts w:ascii="Arial" w:hAnsi="Arial" w:cs="Arial"/>
          <w:color w:val="EE0000"/>
        </w:rPr>
        <w:t>) Los contratos de obra e interventoría fueron celebrados válidamente, se encuentran perfeccionados y ejecutables mientras no medie una causa legal de terminación. La decisión de la RAP no puede producir efectos extintivos sobre relaciones contractuales sin la existencia de un procedimiento bilateral, la audiencia de las partes y una declaración expresa de caducidad, terminación o nulidad.</w:t>
      </w:r>
    </w:p>
    <w:p w14:paraId="25D392D6" w14:textId="77777777" w:rsidR="0008039C" w:rsidRPr="009968D8" w:rsidRDefault="0008039C" w:rsidP="009968D8">
      <w:pPr>
        <w:spacing w:after="0" w:line="240" w:lineRule="auto"/>
        <w:jc w:val="both"/>
        <w:rPr>
          <w:rFonts w:ascii="Arial" w:hAnsi="Arial" w:cs="Arial"/>
          <w:color w:val="EE0000"/>
        </w:rPr>
      </w:pPr>
    </w:p>
    <w:p w14:paraId="5B6B40A3" w14:textId="40B4D8F5" w:rsidR="009968D8" w:rsidRPr="00F5341D" w:rsidRDefault="009968D8" w:rsidP="009968D8">
      <w:pPr>
        <w:spacing w:after="0" w:line="240" w:lineRule="auto"/>
        <w:jc w:val="both"/>
        <w:rPr>
          <w:rFonts w:ascii="Arial" w:hAnsi="Arial" w:cs="Arial"/>
          <w:color w:val="EE0000"/>
        </w:rPr>
      </w:pPr>
      <w:proofErr w:type="spellStart"/>
      <w:r w:rsidRPr="009968D8">
        <w:rPr>
          <w:rFonts w:ascii="Arial" w:hAnsi="Arial" w:cs="Arial"/>
          <w:color w:val="EE0000"/>
        </w:rPr>
        <w:t>iii</w:t>
      </w:r>
      <w:proofErr w:type="spellEnd"/>
      <w:r w:rsidRPr="009968D8">
        <w:rPr>
          <w:rFonts w:ascii="Arial" w:hAnsi="Arial" w:cs="Arial"/>
          <w:color w:val="EE0000"/>
        </w:rPr>
        <w:t>) La orden impartida de promover “terminación por mutuo acuerdo” implica prejuzgar sobre la voluntad contractual de los contratistas, lo que vulnera los principios de autonomía de la voluntad y de equilibrio contractual. Si las partes desean convenir la terminación anticipada, deben hacerlo en ejercicio de su libertad contractual, no por imposición de un acto administrativo unilateral carente de competencia.</w:t>
      </w:r>
    </w:p>
    <w:p w14:paraId="53515DA1" w14:textId="77777777" w:rsidR="0008039C" w:rsidRPr="009968D8" w:rsidRDefault="0008039C" w:rsidP="009968D8">
      <w:pPr>
        <w:spacing w:after="0" w:line="240" w:lineRule="auto"/>
        <w:jc w:val="both"/>
        <w:rPr>
          <w:rFonts w:ascii="Arial" w:hAnsi="Arial" w:cs="Arial"/>
          <w:color w:val="EE0000"/>
        </w:rPr>
      </w:pPr>
    </w:p>
    <w:p w14:paraId="395BEA6F" w14:textId="77777777" w:rsidR="009968D8" w:rsidRPr="009968D8" w:rsidRDefault="009968D8" w:rsidP="009968D8">
      <w:pPr>
        <w:spacing w:after="0" w:line="240" w:lineRule="auto"/>
        <w:jc w:val="both"/>
        <w:rPr>
          <w:rFonts w:ascii="Arial" w:hAnsi="Arial" w:cs="Arial"/>
          <w:b/>
          <w:bCs/>
          <w:color w:val="EE0000"/>
        </w:rPr>
      </w:pPr>
      <w:r w:rsidRPr="009968D8">
        <w:rPr>
          <w:rFonts w:ascii="Arial" w:hAnsi="Arial" w:cs="Arial"/>
          <w:color w:val="EE0000"/>
        </w:rPr>
        <w:t>En consecuencia, la disposición del artículo tercero resulta ilegal, carente de competencia y violatoria del debido proceso contractual, pues la RAP se extralimitó al adoptar decisiones que afectan contratos válidos y en ejecución sin observar el procedimiento ni las causales previstas en la ley</w:t>
      </w:r>
      <w:r w:rsidRPr="009968D8">
        <w:rPr>
          <w:rFonts w:ascii="Arial" w:hAnsi="Arial" w:cs="Arial"/>
          <w:b/>
          <w:bCs/>
          <w:color w:val="EE0000"/>
        </w:rPr>
        <w:t>.</w:t>
      </w:r>
    </w:p>
    <w:p w14:paraId="163D7E3E" w14:textId="088656E3" w:rsidR="009968D8" w:rsidRPr="009968D8" w:rsidRDefault="009968D8" w:rsidP="009968D8">
      <w:pPr>
        <w:spacing w:after="0" w:line="240" w:lineRule="auto"/>
        <w:jc w:val="both"/>
        <w:rPr>
          <w:rFonts w:ascii="Arial" w:hAnsi="Arial" w:cs="Arial"/>
        </w:rPr>
      </w:pPr>
    </w:p>
    <w:p w14:paraId="5020C2CD" w14:textId="77777777" w:rsidR="009968D8" w:rsidRDefault="009968D8" w:rsidP="009968D8">
      <w:pPr>
        <w:spacing w:after="0" w:line="240" w:lineRule="auto"/>
        <w:jc w:val="both"/>
        <w:rPr>
          <w:rFonts w:ascii="Arial" w:hAnsi="Arial" w:cs="Arial"/>
          <w:b/>
          <w:bCs/>
        </w:rPr>
      </w:pPr>
      <w:r w:rsidRPr="009968D8">
        <w:rPr>
          <w:rFonts w:ascii="Arial" w:hAnsi="Arial" w:cs="Arial"/>
          <w:b/>
          <w:bCs/>
        </w:rPr>
        <w:t>6.2. Improcedencia y exceso de la compulsa de copias a órganos de control</w:t>
      </w:r>
    </w:p>
    <w:p w14:paraId="28CD07B8" w14:textId="77777777" w:rsidR="0008039C" w:rsidRPr="009968D8" w:rsidRDefault="0008039C" w:rsidP="009968D8">
      <w:pPr>
        <w:spacing w:after="0" w:line="240" w:lineRule="auto"/>
        <w:jc w:val="both"/>
        <w:rPr>
          <w:rFonts w:ascii="Arial" w:hAnsi="Arial" w:cs="Arial"/>
          <w:b/>
          <w:bCs/>
        </w:rPr>
      </w:pPr>
    </w:p>
    <w:p w14:paraId="13DE07BE" w14:textId="77777777" w:rsidR="009968D8" w:rsidRDefault="009968D8" w:rsidP="009968D8">
      <w:pPr>
        <w:spacing w:after="0" w:line="240" w:lineRule="auto"/>
        <w:jc w:val="both"/>
        <w:rPr>
          <w:rFonts w:ascii="Arial" w:hAnsi="Arial" w:cs="Arial"/>
        </w:rPr>
      </w:pPr>
      <w:r w:rsidRPr="009968D8">
        <w:rPr>
          <w:rFonts w:ascii="Arial" w:hAnsi="Arial" w:cs="Arial"/>
        </w:rPr>
        <w:lastRenderedPageBreak/>
        <w:t xml:space="preserve">El artículo cuarto de la resolución ordena compulsar copias a la Procuraduría General de la Nación, </w:t>
      </w:r>
      <w:proofErr w:type="gramStart"/>
      <w:r w:rsidRPr="009968D8">
        <w:rPr>
          <w:rFonts w:ascii="Arial" w:hAnsi="Arial" w:cs="Arial"/>
        </w:rPr>
        <w:t>Fiscalía General</w:t>
      </w:r>
      <w:proofErr w:type="gramEnd"/>
      <w:r w:rsidRPr="009968D8">
        <w:rPr>
          <w:rFonts w:ascii="Arial" w:hAnsi="Arial" w:cs="Arial"/>
        </w:rPr>
        <w:t xml:space="preserve"> de la Nación y Contraloría General de la República, para que adelanten investigaciones por presuntas irregularidades en la formulación, aprobación, designación de ejecutor y contratación del proyecto.</w:t>
      </w:r>
    </w:p>
    <w:p w14:paraId="54014141" w14:textId="77777777" w:rsidR="0008039C" w:rsidRPr="009968D8" w:rsidRDefault="0008039C" w:rsidP="009968D8">
      <w:pPr>
        <w:spacing w:after="0" w:line="240" w:lineRule="auto"/>
        <w:jc w:val="both"/>
        <w:rPr>
          <w:rFonts w:ascii="Arial" w:hAnsi="Arial" w:cs="Arial"/>
        </w:rPr>
      </w:pPr>
    </w:p>
    <w:p w14:paraId="107326EF" w14:textId="77777777" w:rsidR="0008039C" w:rsidRDefault="009968D8" w:rsidP="009968D8">
      <w:pPr>
        <w:spacing w:after="0" w:line="240" w:lineRule="auto"/>
        <w:jc w:val="both"/>
        <w:rPr>
          <w:rFonts w:ascii="Arial" w:hAnsi="Arial" w:cs="Arial"/>
        </w:rPr>
      </w:pPr>
      <w:r w:rsidRPr="009968D8">
        <w:rPr>
          <w:rFonts w:ascii="Arial" w:hAnsi="Arial" w:cs="Arial"/>
        </w:rPr>
        <w:t>i) La compulsa de copias es un mecanismo excepcional que solo procede cuando en una actuación administrativa se evidencian hechos concretos que constituyan presuntas faltas disciplinarias, delitos o perjuicios patrimoniales, debidamente individualizados y sustentados en pruebas.</w:t>
      </w:r>
    </w:p>
    <w:p w14:paraId="572C0C5B" w14:textId="14049FCD" w:rsidR="009968D8" w:rsidRDefault="009968D8" w:rsidP="009968D8">
      <w:pPr>
        <w:spacing w:after="0" w:line="240" w:lineRule="auto"/>
        <w:jc w:val="both"/>
        <w:rPr>
          <w:rFonts w:ascii="Arial" w:hAnsi="Arial" w:cs="Arial"/>
        </w:rPr>
      </w:pPr>
      <w:r w:rsidRPr="009968D8">
        <w:rPr>
          <w:rFonts w:ascii="Arial" w:hAnsi="Arial" w:cs="Arial"/>
        </w:rPr>
        <w:br/>
        <w:t xml:space="preserve">En el caso presente, la resolución no identifica personas, actos, ni hechos específicos que permitan inferir irregularidad alguna; se limita a formular una alusión genérica a supuestas fallas de planeación, lo cual no configura noticia </w:t>
      </w:r>
      <w:proofErr w:type="spellStart"/>
      <w:r w:rsidRPr="009968D8">
        <w:rPr>
          <w:rFonts w:ascii="Arial" w:hAnsi="Arial" w:cs="Arial"/>
        </w:rPr>
        <w:t>criminis</w:t>
      </w:r>
      <w:proofErr w:type="spellEnd"/>
      <w:r w:rsidRPr="009968D8">
        <w:rPr>
          <w:rFonts w:ascii="Arial" w:hAnsi="Arial" w:cs="Arial"/>
        </w:rPr>
        <w:t xml:space="preserve"> ni disciplinaria.</w:t>
      </w:r>
    </w:p>
    <w:p w14:paraId="08802DA0" w14:textId="77777777" w:rsidR="0008039C" w:rsidRPr="009968D8" w:rsidRDefault="0008039C" w:rsidP="009968D8">
      <w:pPr>
        <w:spacing w:after="0" w:line="240" w:lineRule="auto"/>
        <w:jc w:val="both"/>
        <w:rPr>
          <w:rFonts w:ascii="Arial" w:hAnsi="Arial" w:cs="Arial"/>
        </w:rPr>
      </w:pPr>
    </w:p>
    <w:p w14:paraId="53E04A16" w14:textId="77777777" w:rsidR="0008039C" w:rsidRDefault="009968D8" w:rsidP="009968D8">
      <w:pPr>
        <w:spacing w:after="0" w:line="240" w:lineRule="auto"/>
        <w:jc w:val="both"/>
        <w:rPr>
          <w:rFonts w:ascii="Arial" w:hAnsi="Arial" w:cs="Arial"/>
        </w:rPr>
      </w:pPr>
      <w:proofErr w:type="spellStart"/>
      <w:r w:rsidRPr="009968D8">
        <w:rPr>
          <w:rFonts w:ascii="Arial" w:hAnsi="Arial" w:cs="Arial"/>
        </w:rPr>
        <w:t>ii</w:t>
      </w:r>
      <w:proofErr w:type="spellEnd"/>
      <w:r w:rsidRPr="009968D8">
        <w:rPr>
          <w:rFonts w:ascii="Arial" w:hAnsi="Arial" w:cs="Arial"/>
        </w:rPr>
        <w:t>) La decisión carece de motivación suficiente, pues no explica de qué manera las supuestas falencias técnicas o financieras derivarían en una conducta sancionable.</w:t>
      </w:r>
    </w:p>
    <w:p w14:paraId="6E6978B6" w14:textId="77777777" w:rsidR="0008039C" w:rsidRDefault="0008039C" w:rsidP="009968D8">
      <w:pPr>
        <w:spacing w:after="0" w:line="240" w:lineRule="auto"/>
        <w:jc w:val="both"/>
        <w:rPr>
          <w:rFonts w:ascii="Arial" w:hAnsi="Arial" w:cs="Arial"/>
        </w:rPr>
      </w:pPr>
    </w:p>
    <w:p w14:paraId="4FE2DCCB" w14:textId="004E9C65" w:rsidR="009968D8" w:rsidRDefault="009968D8" w:rsidP="009968D8">
      <w:pPr>
        <w:spacing w:after="0" w:line="240" w:lineRule="auto"/>
        <w:jc w:val="both"/>
        <w:rPr>
          <w:rFonts w:ascii="Arial" w:hAnsi="Arial" w:cs="Arial"/>
        </w:rPr>
      </w:pPr>
      <w:r w:rsidRPr="009968D8">
        <w:rPr>
          <w:rFonts w:ascii="Arial" w:hAnsi="Arial" w:cs="Arial"/>
        </w:rPr>
        <w:t>La compulsa de copias debe estar debidamente motivada y limitada a hechos concretos, so pena de vulnerar el derecho al buen nombre y al debido proceso de las entidades y servidores involucrados.</w:t>
      </w:r>
    </w:p>
    <w:p w14:paraId="084F4F82" w14:textId="77777777" w:rsidR="0008039C" w:rsidRPr="009968D8" w:rsidRDefault="0008039C" w:rsidP="009968D8">
      <w:pPr>
        <w:spacing w:after="0" w:line="240" w:lineRule="auto"/>
        <w:jc w:val="both"/>
        <w:rPr>
          <w:rFonts w:ascii="Arial" w:hAnsi="Arial" w:cs="Arial"/>
        </w:rPr>
      </w:pPr>
    </w:p>
    <w:p w14:paraId="42FD8498" w14:textId="77777777" w:rsidR="0008039C" w:rsidRDefault="009968D8" w:rsidP="009968D8">
      <w:pPr>
        <w:spacing w:after="0" w:line="240" w:lineRule="auto"/>
        <w:jc w:val="both"/>
        <w:rPr>
          <w:rFonts w:ascii="Arial" w:hAnsi="Arial" w:cs="Arial"/>
        </w:rPr>
      </w:pPr>
      <w:proofErr w:type="spellStart"/>
      <w:r w:rsidRPr="009968D8">
        <w:rPr>
          <w:rFonts w:ascii="Arial" w:hAnsi="Arial" w:cs="Arial"/>
        </w:rPr>
        <w:t>iii</w:t>
      </w:r>
      <w:proofErr w:type="spellEnd"/>
      <w:r w:rsidRPr="009968D8">
        <w:rPr>
          <w:rFonts w:ascii="Arial" w:hAnsi="Arial" w:cs="Arial"/>
        </w:rPr>
        <w:t>) La inclusión del Municipio de Leticia dentro de los sujetos que podrían ser objeto de investigación vulnera su derecho de defensa e imagen institucional, dado que no existe ninguna actuación previa que haya acreditado una conducta irregular por parte de sus funcionarios o contratistas.</w:t>
      </w:r>
    </w:p>
    <w:p w14:paraId="4D3D3A80" w14:textId="62D2907A" w:rsidR="009968D8" w:rsidRDefault="009968D8" w:rsidP="009968D8">
      <w:pPr>
        <w:spacing w:after="0" w:line="240" w:lineRule="auto"/>
        <w:jc w:val="both"/>
        <w:rPr>
          <w:rFonts w:ascii="Arial" w:hAnsi="Arial" w:cs="Arial"/>
        </w:rPr>
      </w:pPr>
      <w:r w:rsidRPr="009968D8">
        <w:rPr>
          <w:rFonts w:ascii="Arial" w:hAnsi="Arial" w:cs="Arial"/>
        </w:rPr>
        <w:br/>
        <w:t>La RAP, en su calidad de ejecutora delegada, es quien ha ejercido la gestión directa del proyecto, por lo que la insinuación de responsabilidad hacia el Municipio carece de sustento jurídico y fáctico.</w:t>
      </w:r>
    </w:p>
    <w:p w14:paraId="7F841C56" w14:textId="77777777" w:rsidR="0008039C" w:rsidRPr="009968D8" w:rsidRDefault="0008039C" w:rsidP="009968D8">
      <w:pPr>
        <w:spacing w:after="0" w:line="240" w:lineRule="auto"/>
        <w:jc w:val="both"/>
        <w:rPr>
          <w:rFonts w:ascii="Arial" w:hAnsi="Arial" w:cs="Arial"/>
        </w:rPr>
      </w:pPr>
    </w:p>
    <w:p w14:paraId="40FA29C6" w14:textId="77777777" w:rsidR="009968D8" w:rsidRPr="009968D8" w:rsidRDefault="009968D8" w:rsidP="009968D8">
      <w:pPr>
        <w:spacing w:after="0" w:line="240" w:lineRule="auto"/>
        <w:jc w:val="both"/>
        <w:rPr>
          <w:rFonts w:ascii="Arial" w:hAnsi="Arial" w:cs="Arial"/>
        </w:rPr>
      </w:pPr>
      <w:proofErr w:type="spellStart"/>
      <w:r w:rsidRPr="009968D8">
        <w:rPr>
          <w:rFonts w:ascii="Arial" w:hAnsi="Arial" w:cs="Arial"/>
        </w:rPr>
        <w:t>iv</w:t>
      </w:r>
      <w:proofErr w:type="spellEnd"/>
      <w:r w:rsidRPr="009968D8">
        <w:rPr>
          <w:rFonts w:ascii="Arial" w:hAnsi="Arial" w:cs="Arial"/>
        </w:rPr>
        <w:t>) Además, esta decisión contradice el principio de coordinación interinstitucional, pues lejos de propiciar la colaboración y la solución conjunta de las observaciones técnicas, la RAP optó por una medida que agrava el conflicto institucional y crea un ambiente de desconfianza entre entidades públicas, afectando la continuidad de la inversión y la estabilidad de los contratos estatales.</w:t>
      </w:r>
    </w:p>
    <w:p w14:paraId="582172A3" w14:textId="0A3FFB4B" w:rsidR="009968D8" w:rsidRPr="009968D8" w:rsidRDefault="009968D8" w:rsidP="009968D8">
      <w:pPr>
        <w:spacing w:after="0" w:line="240" w:lineRule="auto"/>
        <w:jc w:val="both"/>
        <w:rPr>
          <w:rFonts w:ascii="Arial" w:hAnsi="Arial" w:cs="Arial"/>
        </w:rPr>
      </w:pPr>
    </w:p>
    <w:p w14:paraId="07BAB442" w14:textId="77777777" w:rsidR="00A52539" w:rsidRPr="000A55DC" w:rsidRDefault="00A52539" w:rsidP="000A55DC">
      <w:pPr>
        <w:spacing w:after="0" w:line="240" w:lineRule="auto"/>
        <w:jc w:val="both"/>
        <w:rPr>
          <w:rFonts w:ascii="Arial" w:hAnsi="Arial" w:cs="Arial"/>
        </w:rPr>
      </w:pPr>
    </w:p>
    <w:p w14:paraId="1DC9B305" w14:textId="26886BC3" w:rsidR="00F4590D" w:rsidRPr="00A52539" w:rsidRDefault="00F4590D" w:rsidP="00A52539">
      <w:pPr>
        <w:pStyle w:val="Prrafodelista"/>
        <w:numPr>
          <w:ilvl w:val="0"/>
          <w:numId w:val="10"/>
        </w:numPr>
        <w:spacing w:after="0" w:line="240" w:lineRule="auto"/>
        <w:jc w:val="both"/>
        <w:rPr>
          <w:rFonts w:ascii="Arial" w:hAnsi="Arial" w:cs="Arial"/>
        </w:rPr>
      </w:pPr>
      <w:r w:rsidRPr="00A52539">
        <w:rPr>
          <w:rFonts w:ascii="Arial" w:hAnsi="Arial" w:cs="Arial"/>
          <w:b/>
          <w:bCs/>
        </w:rPr>
        <w:t>PETICIÓN</w:t>
      </w:r>
    </w:p>
    <w:p w14:paraId="108DAF3D" w14:textId="77777777" w:rsidR="00A52539" w:rsidRPr="00A52539" w:rsidRDefault="00A52539" w:rsidP="00A52539">
      <w:pPr>
        <w:pStyle w:val="Prrafodelista"/>
        <w:spacing w:after="0" w:line="240" w:lineRule="auto"/>
        <w:ind w:left="1080"/>
        <w:jc w:val="both"/>
        <w:rPr>
          <w:rFonts w:ascii="Arial" w:hAnsi="Arial" w:cs="Arial"/>
        </w:rPr>
      </w:pPr>
    </w:p>
    <w:p w14:paraId="24556E96" w14:textId="6DB4547B" w:rsidR="000A55DC" w:rsidRDefault="000A55DC" w:rsidP="000A55DC">
      <w:pPr>
        <w:spacing w:after="0" w:line="240" w:lineRule="auto"/>
        <w:jc w:val="both"/>
        <w:rPr>
          <w:rFonts w:ascii="Arial" w:hAnsi="Arial" w:cs="Arial"/>
        </w:rPr>
      </w:pPr>
      <w:r w:rsidRPr="000A55DC">
        <w:rPr>
          <w:rFonts w:ascii="Arial" w:hAnsi="Arial" w:cs="Arial"/>
        </w:rPr>
        <w:t>Con fundamento en los argumentos de hecho, de derecho y de conveniencia pública expuestos a lo largo de este recurso, el Municipio de Leticia, actuando dentro del marco de sus competencias constitucionales y legales, y en ejercicio del derecho de defensa, consagrado en los artículos 14, 17 y 74 del Código de Procedimiento Administrativo y de lo Contencioso Administrativo (Ley 1437 de 2011), solicita respetuosamente a la Región Administrativa y de Planificación – RAP Amazonía lo siguiente:</w:t>
      </w:r>
    </w:p>
    <w:p w14:paraId="7B7555DE" w14:textId="77777777" w:rsidR="00A52539" w:rsidRPr="000A55DC" w:rsidRDefault="00A52539" w:rsidP="000A55DC">
      <w:pPr>
        <w:spacing w:after="0" w:line="240" w:lineRule="auto"/>
        <w:jc w:val="both"/>
        <w:rPr>
          <w:rFonts w:ascii="Arial" w:hAnsi="Arial" w:cs="Arial"/>
        </w:rPr>
      </w:pPr>
    </w:p>
    <w:p w14:paraId="7DA823A5" w14:textId="77777777" w:rsidR="000A55DC" w:rsidRPr="000A55DC" w:rsidRDefault="000A55DC" w:rsidP="000A55DC">
      <w:pPr>
        <w:spacing w:after="0" w:line="240" w:lineRule="auto"/>
        <w:jc w:val="both"/>
        <w:rPr>
          <w:rFonts w:ascii="Arial" w:hAnsi="Arial" w:cs="Arial"/>
        </w:rPr>
      </w:pPr>
      <w:r w:rsidRPr="000A55DC">
        <w:rPr>
          <w:rFonts w:ascii="Arial" w:hAnsi="Arial" w:cs="Arial"/>
        </w:rPr>
        <w:t>Que se revoque la Resolución No. 198 del 10 de septiembre de 2025, por cuanto adolece de motivación técnica suficiente, desconoció el principio de coordinación interinstitucional y adoptó una medida desproporcionada e ineficaz frente a las verdaderas circunstancias del proyecto. En su lugar, se solicita:</w:t>
      </w:r>
    </w:p>
    <w:p w14:paraId="366C6169" w14:textId="77777777" w:rsidR="000A55DC" w:rsidRPr="000A55DC" w:rsidRDefault="000A55DC" w:rsidP="000A55DC">
      <w:pPr>
        <w:spacing w:after="0" w:line="240" w:lineRule="auto"/>
        <w:jc w:val="both"/>
        <w:rPr>
          <w:rFonts w:ascii="Arial" w:hAnsi="Arial" w:cs="Arial"/>
        </w:rPr>
      </w:pPr>
    </w:p>
    <w:p w14:paraId="76E1C558" w14:textId="77777777" w:rsidR="000A55DC" w:rsidRPr="000A55DC" w:rsidRDefault="000A55DC" w:rsidP="000A55DC">
      <w:pPr>
        <w:spacing w:after="0" w:line="240" w:lineRule="auto"/>
        <w:jc w:val="both"/>
        <w:rPr>
          <w:rFonts w:ascii="Arial" w:hAnsi="Arial" w:cs="Arial"/>
        </w:rPr>
      </w:pPr>
      <w:r w:rsidRPr="000A55DC">
        <w:rPr>
          <w:rFonts w:ascii="Arial" w:hAnsi="Arial" w:cs="Arial"/>
        </w:rPr>
        <w:t>a) Reconocer expresamente la legitimación del Municipio de Leticia como interesado directo y afectado actual dentro del proceso administrativo, en su condición de formulador inicial del proyecto, entidad territorial beneficiaria de la inversión y autoridad competente en materia de planeación urbana y vial dentro de su jurisdicción.</w:t>
      </w:r>
    </w:p>
    <w:p w14:paraId="4E5CB6C1" w14:textId="77777777" w:rsidR="000A55DC" w:rsidRPr="000A55DC" w:rsidRDefault="000A55DC" w:rsidP="000A55DC">
      <w:pPr>
        <w:spacing w:after="0" w:line="240" w:lineRule="auto"/>
        <w:jc w:val="both"/>
        <w:rPr>
          <w:rFonts w:ascii="Arial" w:hAnsi="Arial" w:cs="Arial"/>
        </w:rPr>
      </w:pPr>
    </w:p>
    <w:p w14:paraId="55DBF8A2" w14:textId="77777777" w:rsidR="000A55DC" w:rsidRPr="000A55DC" w:rsidRDefault="000A55DC" w:rsidP="000A55DC">
      <w:pPr>
        <w:spacing w:after="0" w:line="240" w:lineRule="auto"/>
        <w:jc w:val="both"/>
        <w:rPr>
          <w:rFonts w:ascii="Arial" w:hAnsi="Arial" w:cs="Arial"/>
        </w:rPr>
      </w:pPr>
      <w:r w:rsidRPr="000A55DC">
        <w:rPr>
          <w:rFonts w:ascii="Arial" w:hAnsi="Arial" w:cs="Arial"/>
        </w:rPr>
        <w:t>b) Disponer la continuidad del proyecto BPIN 2021000060016, denominado “Fortalecimiento de la Integración Socioeconómica del Departamento del Amazonas mediante la construcción de la Avenida Vásquez Cobo en el municipio de Leticia”, teniendo en cuenta que las observaciones formuladas por la RAP son de carácter subsanable y que los informes técnicos y de interventoría acreditan su plena viabilidad dentro del alcance contractual vigente.</w:t>
      </w:r>
    </w:p>
    <w:p w14:paraId="72DE359E" w14:textId="77777777" w:rsidR="000A55DC" w:rsidRPr="000A55DC" w:rsidRDefault="000A55DC" w:rsidP="000A55DC">
      <w:pPr>
        <w:spacing w:after="0" w:line="240" w:lineRule="auto"/>
        <w:jc w:val="both"/>
        <w:rPr>
          <w:rFonts w:ascii="Arial" w:hAnsi="Arial" w:cs="Arial"/>
        </w:rPr>
      </w:pPr>
    </w:p>
    <w:p w14:paraId="23CC30FF" w14:textId="51BBD546" w:rsidR="000A55DC" w:rsidRDefault="000A55DC" w:rsidP="000A55DC">
      <w:pPr>
        <w:spacing w:after="0" w:line="240" w:lineRule="auto"/>
        <w:jc w:val="both"/>
        <w:rPr>
          <w:rFonts w:ascii="Arial" w:hAnsi="Arial" w:cs="Arial"/>
        </w:rPr>
      </w:pPr>
      <w:r w:rsidRPr="000A55DC">
        <w:rPr>
          <w:rFonts w:ascii="Arial" w:hAnsi="Arial" w:cs="Arial"/>
        </w:rPr>
        <w:t>c) Ordenar la conformación de una Mesa Técnica Interinstitucional, integrada por la RAP Amazonía, el Municipio de Leticia, el Departamento Nacional de Planeación – DNP y el Ministerio de Transporte, con el objeto de revisar, concertar y validar los ajustes técnicos, financieros y administrativos requeridos para garantizar la ejecución integral del proyecto, preservando los principios de coordinación, eficacia y continuidad de la función administrativa.</w:t>
      </w:r>
    </w:p>
    <w:p w14:paraId="527673A2" w14:textId="77777777" w:rsidR="00A52539" w:rsidRPr="00F4590D" w:rsidRDefault="00A52539" w:rsidP="000A55DC">
      <w:pPr>
        <w:spacing w:after="0" w:line="240" w:lineRule="auto"/>
        <w:jc w:val="both"/>
        <w:rPr>
          <w:rFonts w:ascii="Arial" w:hAnsi="Arial" w:cs="Arial"/>
        </w:rPr>
      </w:pPr>
    </w:p>
    <w:p w14:paraId="6B483F89" w14:textId="30E96E04" w:rsidR="00F4590D" w:rsidRPr="00F4590D" w:rsidRDefault="00F4590D" w:rsidP="000A55DC">
      <w:pPr>
        <w:spacing w:after="0" w:line="240" w:lineRule="auto"/>
        <w:jc w:val="both"/>
        <w:rPr>
          <w:rFonts w:ascii="Arial" w:hAnsi="Arial" w:cs="Arial"/>
        </w:rPr>
      </w:pPr>
    </w:p>
    <w:p w14:paraId="4DBA62BB" w14:textId="28C578EC" w:rsidR="00F4590D" w:rsidRPr="00A52539" w:rsidRDefault="00F4590D" w:rsidP="00A52539">
      <w:pPr>
        <w:pStyle w:val="Prrafodelista"/>
        <w:numPr>
          <w:ilvl w:val="0"/>
          <w:numId w:val="10"/>
        </w:numPr>
        <w:spacing w:after="0" w:line="240" w:lineRule="auto"/>
        <w:jc w:val="both"/>
        <w:rPr>
          <w:rFonts w:ascii="Arial" w:hAnsi="Arial" w:cs="Arial"/>
          <w:b/>
          <w:bCs/>
        </w:rPr>
      </w:pPr>
      <w:r w:rsidRPr="00A52539">
        <w:rPr>
          <w:rFonts w:ascii="Arial" w:hAnsi="Arial" w:cs="Arial"/>
          <w:b/>
          <w:bCs/>
        </w:rPr>
        <w:t>NOTIFICACIONES</w:t>
      </w:r>
    </w:p>
    <w:p w14:paraId="32D8230D" w14:textId="77777777" w:rsidR="00A52539" w:rsidRPr="00A52539" w:rsidRDefault="00A52539" w:rsidP="00A52539">
      <w:pPr>
        <w:pStyle w:val="Prrafodelista"/>
        <w:spacing w:after="0" w:line="240" w:lineRule="auto"/>
        <w:ind w:left="1080"/>
        <w:jc w:val="both"/>
        <w:rPr>
          <w:rFonts w:ascii="Arial" w:hAnsi="Arial" w:cs="Arial"/>
          <w:b/>
          <w:bCs/>
        </w:rPr>
      </w:pPr>
    </w:p>
    <w:p w14:paraId="026A726F" w14:textId="794D98BC" w:rsidR="00F4590D" w:rsidRDefault="00F4590D" w:rsidP="00A52539">
      <w:pPr>
        <w:spacing w:after="0" w:line="240" w:lineRule="auto"/>
        <w:jc w:val="both"/>
        <w:rPr>
          <w:rFonts w:ascii="Arial" w:hAnsi="Arial" w:cs="Arial"/>
        </w:rPr>
      </w:pPr>
      <w:r w:rsidRPr="00F4590D">
        <w:rPr>
          <w:rFonts w:ascii="Arial" w:hAnsi="Arial" w:cs="Arial"/>
        </w:rPr>
        <w:t xml:space="preserve">El Municipio de Leticia recibirá notificaciones en la Carrera 10 No. 10-47, Palacio Municipal, Leticia – Amazonas, y al correo electrónico institucional </w:t>
      </w:r>
      <w:hyperlink r:id="rId5" w:history="1">
        <w:r w:rsidR="000A55DC" w:rsidRPr="00F4590D">
          <w:rPr>
            <w:rStyle w:val="Hipervnculo"/>
            <w:rFonts w:ascii="Arial" w:hAnsi="Arial" w:cs="Arial"/>
          </w:rPr>
          <w:t>planeacion@leticia-amazonas.gov.co</w:t>
        </w:r>
      </w:hyperlink>
      <w:r w:rsidRPr="00F4590D">
        <w:rPr>
          <w:rFonts w:ascii="Arial" w:hAnsi="Arial" w:cs="Arial"/>
        </w:rPr>
        <w:t>.</w:t>
      </w:r>
    </w:p>
    <w:p w14:paraId="4E0D03FC" w14:textId="77777777" w:rsidR="000A55DC" w:rsidRPr="00F4590D" w:rsidRDefault="000A55DC" w:rsidP="000A55DC">
      <w:pPr>
        <w:spacing w:after="0" w:line="240" w:lineRule="auto"/>
        <w:rPr>
          <w:rFonts w:ascii="Arial" w:hAnsi="Arial" w:cs="Arial"/>
        </w:rPr>
      </w:pPr>
    </w:p>
    <w:p w14:paraId="48B4BF46" w14:textId="77777777" w:rsidR="00F4590D" w:rsidRDefault="00F4590D" w:rsidP="000A55DC">
      <w:pPr>
        <w:spacing w:after="0" w:line="240" w:lineRule="auto"/>
        <w:rPr>
          <w:rFonts w:ascii="Arial" w:hAnsi="Arial" w:cs="Arial"/>
        </w:rPr>
      </w:pPr>
      <w:r w:rsidRPr="00F4590D">
        <w:rPr>
          <w:rFonts w:ascii="Arial" w:hAnsi="Arial" w:cs="Arial"/>
        </w:rPr>
        <w:t>Atentamente,</w:t>
      </w:r>
    </w:p>
    <w:p w14:paraId="2F7BA69E" w14:textId="77777777" w:rsidR="000A55DC" w:rsidRDefault="000A55DC" w:rsidP="000A55DC">
      <w:pPr>
        <w:spacing w:after="0" w:line="240" w:lineRule="auto"/>
        <w:rPr>
          <w:rFonts w:ascii="Arial" w:hAnsi="Arial" w:cs="Arial"/>
        </w:rPr>
      </w:pPr>
    </w:p>
    <w:p w14:paraId="4AF205E8" w14:textId="77777777" w:rsidR="000A55DC" w:rsidRDefault="000A55DC" w:rsidP="000A55DC">
      <w:pPr>
        <w:spacing w:after="0" w:line="240" w:lineRule="auto"/>
        <w:rPr>
          <w:rFonts w:ascii="Arial" w:hAnsi="Arial" w:cs="Arial"/>
        </w:rPr>
      </w:pPr>
    </w:p>
    <w:p w14:paraId="5D51F94C" w14:textId="77777777" w:rsidR="00A52539" w:rsidRPr="00F4590D" w:rsidRDefault="00A52539" w:rsidP="000A55DC">
      <w:pPr>
        <w:spacing w:after="0" w:line="240" w:lineRule="auto"/>
        <w:rPr>
          <w:rFonts w:ascii="Arial" w:hAnsi="Arial" w:cs="Arial"/>
        </w:rPr>
      </w:pPr>
    </w:p>
    <w:p w14:paraId="591ACE0D" w14:textId="4FC1F622" w:rsidR="00F4590D" w:rsidRPr="00F4590D" w:rsidRDefault="00F4590D" w:rsidP="000A55DC">
      <w:pPr>
        <w:spacing w:after="0" w:line="240" w:lineRule="auto"/>
        <w:rPr>
          <w:rFonts w:ascii="Arial" w:hAnsi="Arial" w:cs="Arial"/>
        </w:rPr>
      </w:pPr>
      <w:r w:rsidRPr="00256D40">
        <w:rPr>
          <w:rFonts w:ascii="Arial" w:hAnsi="Arial" w:cs="Arial"/>
          <w:b/>
          <w:bCs/>
        </w:rPr>
        <w:t>EILQUIN JADRIAN UNI HEREDIA</w:t>
      </w:r>
      <w:r w:rsidRPr="00F4590D">
        <w:rPr>
          <w:rFonts w:ascii="Arial" w:hAnsi="Arial" w:cs="Arial"/>
        </w:rPr>
        <w:br/>
      </w:r>
      <w:proofErr w:type="gramStart"/>
      <w:r w:rsidRPr="00F4590D">
        <w:rPr>
          <w:rFonts w:ascii="Arial" w:hAnsi="Arial" w:cs="Arial"/>
        </w:rPr>
        <w:t>Alcalde</w:t>
      </w:r>
      <w:proofErr w:type="gramEnd"/>
      <w:r w:rsidRPr="00F4590D">
        <w:rPr>
          <w:rFonts w:ascii="Arial" w:hAnsi="Arial" w:cs="Arial"/>
        </w:rPr>
        <w:t xml:space="preserve"> Municipal de Leticia</w:t>
      </w:r>
      <w:r w:rsidRPr="00F4590D">
        <w:rPr>
          <w:rFonts w:ascii="Arial" w:hAnsi="Arial" w:cs="Arial"/>
        </w:rPr>
        <w:br/>
        <w:t>C.C. 1.121.198.807 de Leticia</w:t>
      </w:r>
      <w:r w:rsidRPr="00F4590D">
        <w:rPr>
          <w:rFonts w:ascii="Arial" w:hAnsi="Arial" w:cs="Arial"/>
        </w:rPr>
        <w:br/>
      </w:r>
    </w:p>
    <w:p w14:paraId="3C42D513" w14:textId="77777777" w:rsidR="00C21186" w:rsidRPr="00256D40" w:rsidRDefault="00C21186" w:rsidP="000A55DC">
      <w:pPr>
        <w:spacing w:after="0" w:line="240" w:lineRule="auto"/>
        <w:rPr>
          <w:rFonts w:ascii="Arial" w:hAnsi="Arial" w:cs="Arial"/>
        </w:rPr>
      </w:pPr>
    </w:p>
    <w:sectPr w:rsidR="00C21186" w:rsidRPr="00256D4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516E"/>
    <w:multiLevelType w:val="hybridMultilevel"/>
    <w:tmpl w:val="2670039E"/>
    <w:lvl w:ilvl="0" w:tplc="D4B84CF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CD4180"/>
    <w:multiLevelType w:val="multilevel"/>
    <w:tmpl w:val="38EA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A663A"/>
    <w:multiLevelType w:val="multilevel"/>
    <w:tmpl w:val="2B803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401BFB"/>
    <w:multiLevelType w:val="multilevel"/>
    <w:tmpl w:val="20EC8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CF73E6"/>
    <w:multiLevelType w:val="multilevel"/>
    <w:tmpl w:val="0F70A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13D7C"/>
    <w:multiLevelType w:val="multilevel"/>
    <w:tmpl w:val="2218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195091"/>
    <w:multiLevelType w:val="multilevel"/>
    <w:tmpl w:val="35FA1E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5B27D5"/>
    <w:multiLevelType w:val="multilevel"/>
    <w:tmpl w:val="C364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B93410"/>
    <w:multiLevelType w:val="hybridMultilevel"/>
    <w:tmpl w:val="8AB25E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47C017F"/>
    <w:multiLevelType w:val="multilevel"/>
    <w:tmpl w:val="2F62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B613EF"/>
    <w:multiLevelType w:val="multilevel"/>
    <w:tmpl w:val="C25CB6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045459">
    <w:abstractNumId w:val="10"/>
  </w:num>
  <w:num w:numId="2" w16cid:durableId="478500580">
    <w:abstractNumId w:val="2"/>
  </w:num>
  <w:num w:numId="3" w16cid:durableId="1966495665">
    <w:abstractNumId w:val="5"/>
  </w:num>
  <w:num w:numId="4" w16cid:durableId="1303924602">
    <w:abstractNumId w:val="7"/>
  </w:num>
  <w:num w:numId="5" w16cid:durableId="267851671">
    <w:abstractNumId w:val="4"/>
  </w:num>
  <w:num w:numId="6" w16cid:durableId="1082870125">
    <w:abstractNumId w:val="6"/>
  </w:num>
  <w:num w:numId="7" w16cid:durableId="709380212">
    <w:abstractNumId w:val="3"/>
  </w:num>
  <w:num w:numId="8" w16cid:durableId="159929352">
    <w:abstractNumId w:val="9"/>
  </w:num>
  <w:num w:numId="9" w16cid:durableId="136147314">
    <w:abstractNumId w:val="1"/>
  </w:num>
  <w:num w:numId="10" w16cid:durableId="16975881">
    <w:abstractNumId w:val="0"/>
  </w:num>
  <w:num w:numId="11" w16cid:durableId="5645346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186"/>
    <w:rsid w:val="0008039C"/>
    <w:rsid w:val="000A55DC"/>
    <w:rsid w:val="000B5BD3"/>
    <w:rsid w:val="000C2653"/>
    <w:rsid w:val="000D04BC"/>
    <w:rsid w:val="00250B9A"/>
    <w:rsid w:val="00256D40"/>
    <w:rsid w:val="00296EDF"/>
    <w:rsid w:val="0029793B"/>
    <w:rsid w:val="002B6AD8"/>
    <w:rsid w:val="00422935"/>
    <w:rsid w:val="00471163"/>
    <w:rsid w:val="004C24D4"/>
    <w:rsid w:val="00662CF9"/>
    <w:rsid w:val="006B2516"/>
    <w:rsid w:val="00744930"/>
    <w:rsid w:val="00843589"/>
    <w:rsid w:val="008E1E0A"/>
    <w:rsid w:val="00944730"/>
    <w:rsid w:val="00983068"/>
    <w:rsid w:val="0099310C"/>
    <w:rsid w:val="009968D8"/>
    <w:rsid w:val="00A52539"/>
    <w:rsid w:val="00AA032E"/>
    <w:rsid w:val="00AB0506"/>
    <w:rsid w:val="00AB492E"/>
    <w:rsid w:val="00B53679"/>
    <w:rsid w:val="00C21186"/>
    <w:rsid w:val="00C75C4B"/>
    <w:rsid w:val="00D0625C"/>
    <w:rsid w:val="00D6268E"/>
    <w:rsid w:val="00D85937"/>
    <w:rsid w:val="00DB08E6"/>
    <w:rsid w:val="00E61AF5"/>
    <w:rsid w:val="00F07ABC"/>
    <w:rsid w:val="00F2379A"/>
    <w:rsid w:val="00F4590D"/>
    <w:rsid w:val="00F5341D"/>
    <w:rsid w:val="00F86790"/>
    <w:rsid w:val="00F91D6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5AD7C"/>
  <w15:chartTrackingRefBased/>
  <w15:docId w15:val="{E2E8324A-FCBF-45A3-AAD9-0506D8580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211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211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2118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2118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2118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2118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2118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2118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2118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2118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2118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2118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2118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2118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2118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2118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2118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21186"/>
    <w:rPr>
      <w:rFonts w:eastAsiaTheme="majorEastAsia" w:cstheme="majorBidi"/>
      <w:color w:val="272727" w:themeColor="text1" w:themeTint="D8"/>
    </w:rPr>
  </w:style>
  <w:style w:type="paragraph" w:styleId="Ttulo">
    <w:name w:val="Title"/>
    <w:basedOn w:val="Normal"/>
    <w:next w:val="Normal"/>
    <w:link w:val="TtuloCar"/>
    <w:uiPriority w:val="10"/>
    <w:qFormat/>
    <w:rsid w:val="00C211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118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2118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2118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21186"/>
    <w:pPr>
      <w:spacing w:before="160"/>
      <w:jc w:val="center"/>
    </w:pPr>
    <w:rPr>
      <w:i/>
      <w:iCs/>
      <w:color w:val="404040" w:themeColor="text1" w:themeTint="BF"/>
    </w:rPr>
  </w:style>
  <w:style w:type="character" w:customStyle="1" w:styleId="CitaCar">
    <w:name w:val="Cita Car"/>
    <w:basedOn w:val="Fuentedeprrafopredeter"/>
    <w:link w:val="Cita"/>
    <w:uiPriority w:val="29"/>
    <w:rsid w:val="00C21186"/>
    <w:rPr>
      <w:i/>
      <w:iCs/>
      <w:color w:val="404040" w:themeColor="text1" w:themeTint="BF"/>
    </w:rPr>
  </w:style>
  <w:style w:type="paragraph" w:styleId="Prrafodelista">
    <w:name w:val="List Paragraph"/>
    <w:basedOn w:val="Normal"/>
    <w:uiPriority w:val="34"/>
    <w:qFormat/>
    <w:rsid w:val="00C21186"/>
    <w:pPr>
      <w:ind w:left="720"/>
      <w:contextualSpacing/>
    </w:pPr>
  </w:style>
  <w:style w:type="character" w:styleId="nfasisintenso">
    <w:name w:val="Intense Emphasis"/>
    <w:basedOn w:val="Fuentedeprrafopredeter"/>
    <w:uiPriority w:val="21"/>
    <w:qFormat/>
    <w:rsid w:val="00C21186"/>
    <w:rPr>
      <w:i/>
      <w:iCs/>
      <w:color w:val="0F4761" w:themeColor="accent1" w:themeShade="BF"/>
    </w:rPr>
  </w:style>
  <w:style w:type="paragraph" w:styleId="Citadestacada">
    <w:name w:val="Intense Quote"/>
    <w:basedOn w:val="Normal"/>
    <w:next w:val="Normal"/>
    <w:link w:val="CitadestacadaCar"/>
    <w:uiPriority w:val="30"/>
    <w:qFormat/>
    <w:rsid w:val="00C211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21186"/>
    <w:rPr>
      <w:i/>
      <w:iCs/>
      <w:color w:val="0F4761" w:themeColor="accent1" w:themeShade="BF"/>
    </w:rPr>
  </w:style>
  <w:style w:type="character" w:styleId="Referenciaintensa">
    <w:name w:val="Intense Reference"/>
    <w:basedOn w:val="Fuentedeprrafopredeter"/>
    <w:uiPriority w:val="32"/>
    <w:qFormat/>
    <w:rsid w:val="00C21186"/>
    <w:rPr>
      <w:b/>
      <w:bCs/>
      <w:smallCaps/>
      <w:color w:val="0F4761" w:themeColor="accent1" w:themeShade="BF"/>
      <w:spacing w:val="5"/>
    </w:rPr>
  </w:style>
  <w:style w:type="character" w:styleId="Hipervnculo">
    <w:name w:val="Hyperlink"/>
    <w:basedOn w:val="Fuentedeprrafopredeter"/>
    <w:uiPriority w:val="99"/>
    <w:unhideWhenUsed/>
    <w:rsid w:val="000A55DC"/>
    <w:rPr>
      <w:color w:val="467886" w:themeColor="hyperlink"/>
      <w:u w:val="single"/>
    </w:rPr>
  </w:style>
  <w:style w:type="character" w:styleId="Mencinsinresolver">
    <w:name w:val="Unresolved Mention"/>
    <w:basedOn w:val="Fuentedeprrafopredeter"/>
    <w:uiPriority w:val="99"/>
    <w:semiHidden/>
    <w:unhideWhenUsed/>
    <w:rsid w:val="000A55DC"/>
    <w:rPr>
      <w:color w:val="605E5C"/>
      <w:shd w:val="clear" w:color="auto" w:fill="E1DFDD"/>
    </w:rPr>
  </w:style>
  <w:style w:type="paragraph" w:styleId="NormalWeb">
    <w:name w:val="Normal (Web)"/>
    <w:basedOn w:val="Normal"/>
    <w:uiPriority w:val="99"/>
    <w:semiHidden/>
    <w:unhideWhenUsed/>
    <w:rsid w:val="00C75C4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laneacion@leticia-amazonas.gov.co"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1838</TotalTime>
  <Pages>15</Pages>
  <Words>6280</Words>
  <Characters>34545</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Wilder Colonia</dc:creator>
  <cp:keywords/>
  <dc:description/>
  <cp:lastModifiedBy>Wilder Colonia</cp:lastModifiedBy>
  <cp:revision>20</cp:revision>
  <dcterms:created xsi:type="dcterms:W3CDTF">2025-10-06T19:56:00Z</dcterms:created>
  <dcterms:modified xsi:type="dcterms:W3CDTF">2025-10-08T20:45:00Z</dcterms:modified>
</cp:coreProperties>
</file>